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60630x10q.htm"/>
        <w:bookmarkStart w:id="1" w:name="ksmrkr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fe4ef380_a2ac_43f5_b5a6_1830b976dffa"/>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 xml:space="preserve">Quarterly Report Under Section 13 or 15(d) of the Securities Exchange Act of 1934 for the quarterly period ended June 30, 2026 </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J7gP6baLQUulom7vFnBncg_2_2"/>
      <w:bookmarkStart w:id="4" w:name="Tc_poJumdPCC0Gwcl3AvKLT8Q_2_0"/>
      <w:bookmarkStart w:id="5" w:name="_9af6c5aa_2964_4dcd_963c_1242e1a24825"/>
      <w:bookmarkStart w:id="6" w:name="Tc_J7gP6baLQUulom7vFnBncg_2_2"/>
      <w:bookmarkStart w:id="7" w:name="Tc_poJumdPCC0Gwcl3AvKLT8Q_2_0"/>
      <w:bookmarkStart w:id="8" w:name="_9af6c5aa_2964_4dcd_963c_1242e1a24825"/>
      <w:bookmarkEnd w:id="6"/>
      <w:bookmarkEnd w:id="7"/>
      <w:bookmarkEnd w:id="8"/>
    </w:p>
    <w:tbl>
      <w:tblPr>
        <w:tblW w:w="7383" w:type="dxa"/>
        <w:jc w:val="left"/>
        <w:tblInd w:w="0" w:type="dxa"/>
        <w:tblLayout w:type="fixed"/>
        <w:tblCellMar>
          <w:top w:w="0" w:type="dxa"/>
          <w:left w:w="0" w:type="dxa"/>
          <w:bottom w:w="0" w:type="dxa"/>
          <w:right w:w="0" w:type="dxa"/>
        </w:tblCellMar>
      </w:tblPr>
      <w:tblGrid>
        <w:gridCol w:w="4321"/>
        <w:gridCol w:w="346"/>
        <w:gridCol w:w="2716"/>
      </w:tblGrid>
      <w:tr>
        <w:trPr/>
        <w:tc>
          <w:tcPr>
            <w:tcW w:w="43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716" w:type="dxa"/>
            <w:tcBorders/>
            <w:vAlign w:val="center"/>
          </w:tcPr>
          <w:p>
            <w:pPr>
              <w:pStyle w:val="TableContents"/>
              <w:bidi w:val="0"/>
              <w:spacing w:before="0" w:after="0"/>
              <w:ind w:left="0" w:right="0" w:hanging="0"/>
              <w:jc w:val="both"/>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46" w:type="dxa"/>
            <w:tcBorders/>
            <w:vAlign w:val="center"/>
          </w:tcPr>
          <w:p>
            <w:pPr>
              <w:pStyle w:val="TableContents"/>
              <w:bidi w:val="0"/>
              <w:spacing w:before="0" w:after="0"/>
              <w:ind w:left="0" w:right="0" w:hanging="0"/>
              <w:jc w:val="both"/>
              <w:rPr/>
            </w:pPr>
            <w:r>
              <w:rPr/>
              <w:t>  ​ ​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DwpIE6llhUWwMfyKUVFvHQ_3_2"/>
      <w:bookmarkStart w:id="10" w:name="Tc_Psp-wbYozEOFLjvBnwtVxw_3_0"/>
      <w:bookmarkStart w:id="11" w:name="Tc_RfpSTomkl0CMi_yAEhiEYQ_2_0"/>
      <w:bookmarkStart w:id="12" w:name="_b494b851_bca4_40ad_954f_bf49924fdd67"/>
      <w:bookmarkStart w:id="13" w:name="Tc_DwpIE6llhUWwMfyKUVFvHQ_3_2"/>
      <w:bookmarkStart w:id="14" w:name="Tc_Psp-wbYozEOFLjvBnwtVxw_3_0"/>
      <w:bookmarkStart w:id="15" w:name="Tc_RfpSTomkl0CMi_yAEhiEYQ_2_0"/>
      <w:bookmarkStart w:id="16" w:name="_b494b851_bca4_40ad_954f_bf49924fdd67"/>
      <w:bookmarkEnd w:id="13"/>
      <w:bookmarkEnd w:id="14"/>
      <w:bookmarkEnd w:id="15"/>
      <w:bookmarkEnd w:id="16"/>
    </w:p>
    <w:tbl>
      <w:tblPr>
        <w:tblW w:w="5133" w:type="dxa"/>
        <w:jc w:val="left"/>
        <w:tblInd w:w="0" w:type="dxa"/>
        <w:tblLayout w:type="fixed"/>
        <w:tblCellMar>
          <w:top w:w="0" w:type="dxa"/>
          <w:left w:w="0" w:type="dxa"/>
          <w:bottom w:w="0" w:type="dxa"/>
          <w:right w:w="0" w:type="dxa"/>
        </w:tblCellMar>
      </w:tblPr>
      <w:tblGrid>
        <w:gridCol w:w="3856"/>
        <w:gridCol w:w="346"/>
        <w:gridCol w:w="93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2450 Holcombe Blvd, TMC Partners Office 1.311</w:t>
            </w:r>
            <w:r>
              <w:rPr>
                <w:rFonts w:ascii="Times New Roman;Times;serif" w:hAnsi="Times New Roman;Times;serif"/>
                <w:sz w:val="18"/>
              </w:rPr>
              <w:br/>
            </w:r>
            <w:r>
              <w:rPr>
                <w:rFonts w:ascii="Times New Roman;Times;serif" w:hAnsi="Times New Roman;Times;serif"/>
                <w:b/>
                <w:sz w:val="18"/>
              </w:rPr>
              <w:t>Houston, Texas</w:t>
            </w:r>
          </w:p>
        </w:tc>
        <w:tc>
          <w:tcPr>
            <w:tcW w:w="346" w:type="dxa"/>
            <w:tcBorders/>
            <w:vAlign w:val="center"/>
          </w:tcPr>
          <w:p>
            <w:pPr>
              <w:pStyle w:val="TableContents"/>
              <w:bidi w:val="0"/>
              <w:spacing w:before="0" w:after="0"/>
              <w:ind w:left="0" w:right="0" w:hanging="0"/>
              <w:jc w:val="both"/>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77021</w:t>
            </w:r>
          </w:p>
        </w:tc>
      </w:tr>
      <w:tr>
        <w:trPr/>
        <w:tc>
          <w:tcPr>
            <w:tcW w:w="38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tbl>
      <w:tblPr>
        <w:tblW w:w="2616" w:type="dxa"/>
        <w:jc w:val="left"/>
        <w:tblInd w:w="0" w:type="dxa"/>
        <w:tblLayout w:type="fixed"/>
        <w:tblCellMar>
          <w:top w:w="0" w:type="dxa"/>
          <w:left w:w="0" w:type="dxa"/>
          <w:bottom w:w="28" w:type="dxa"/>
          <w:right w:w="0" w:type="dxa"/>
        </w:tblCellMar>
      </w:tblPr>
      <w:tblGrid>
        <w:gridCol w:w="2116"/>
        <w:gridCol w:w="34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6316" w:type="dxa"/>
        <w:jc w:val="left"/>
        <w:tblInd w:w="0" w:type="dxa"/>
        <w:tblLayout w:type="fixed"/>
        <w:tblCellMar>
          <w:top w:w="0" w:type="dxa"/>
          <w:left w:w="0" w:type="dxa"/>
          <w:bottom w:w="0" w:type="dxa"/>
          <w:right w:w="0" w:type="dxa"/>
        </w:tblCellMar>
      </w:tblPr>
      <w:tblGrid>
        <w:gridCol w:w="6316"/>
      </w:tblGrid>
      <w:tr>
        <w:trPr/>
        <w:tc>
          <w:tcPr>
            <w:tcW w:w="6316" w:type="dxa"/>
            <w:tcBorders/>
            <w:vAlign w:val="center"/>
          </w:tcPr>
          <w:p>
            <w:pPr>
              <w:pStyle w:val="TableContents"/>
              <w:bidi w:val="0"/>
              <w:spacing w:before="0" w:after="0"/>
              <w:ind w:left="0" w:right="0" w:hanging="0"/>
              <w:jc w:val="both"/>
              <w:rPr/>
            </w:pPr>
            <w:r>
              <w:rPr/>
              <w:t>​</w:t>
            </w:r>
          </w:p>
        </w:tc>
      </w:tr>
      <w:tr>
        <w:trPr/>
        <w:tc>
          <w:tcPr>
            <w:tcW w:w="6316" w:type="dxa"/>
            <w:tcBorders/>
            <w:vAlign w:val="center"/>
          </w:tcPr>
          <w:p>
            <w:pPr>
              <w:pStyle w:val="TableContents"/>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2450 Holcombe Blvd, Suite BCM-A, MS: BCM251</w:t>
            </w:r>
          </w:p>
          <w:p>
            <w:pPr>
              <w:pStyle w:val="TableContents"/>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Houston, Texas 77021</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Address)</w:t>
            </w:r>
          </w:p>
        </w:tc>
      </w:tr>
      <w:tr>
        <w:trPr/>
        <w:tc>
          <w:tcPr>
            <w:tcW w:w="6316" w:type="dxa"/>
            <w:tcBorders>
              <w:top w:val="single" w:sz="2" w:space="0" w:color="000000"/>
            </w:tcBorders>
            <w:tcMar>
              <w:top w:w="28" w:type="dxa"/>
            </w:tcMar>
            <w:vAlign w:val="center"/>
          </w:tcPr>
          <w:p>
            <w:pPr>
              <w:pStyle w:val="TableContents"/>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Rl0QNQDC0kCkoVWUOghXKQ_2_4"/>
      <w:bookmarkStart w:id="18" w:name="Tc_HBPAitc8sEebIH2Mw3631Q_1_4"/>
      <w:bookmarkStart w:id="19" w:name="Tc_S7MrBI9OUU-BLwvJhTGxKg_1_2"/>
      <w:bookmarkStart w:id="20" w:name="Tc_cantWGqLiE2_77XwFrP8-g_1_0"/>
      <w:bookmarkStart w:id="21" w:name="_48eb8589_7c2b_4e5e_aafa_5d79a6048cfb"/>
      <w:bookmarkStart w:id="22" w:name="Tc_Rl0QNQDC0kCkoVWUOghXKQ_2_4"/>
      <w:bookmarkStart w:id="23" w:name="Tc_HBPAitc8sEebIH2Mw3631Q_1_4"/>
      <w:bookmarkStart w:id="24" w:name="Tc_S7MrBI9OUU-BLwvJhTGxKg_1_2"/>
      <w:bookmarkStart w:id="25" w:name="Tc_cantWGqLiE2_77XwFrP8-g_1_0"/>
      <w:bookmarkStart w:id="26" w:name="_48eb8589_7c2b_4e5e_aafa_5d79a6048cfb"/>
      <w:bookmarkEnd w:id="22"/>
      <w:bookmarkEnd w:id="23"/>
      <w:bookmarkEnd w:id="24"/>
      <w:bookmarkEnd w:id="25"/>
      <w:bookmarkEnd w:id="26"/>
    </w:p>
    <w:tbl>
      <w:tblPr>
        <w:tblW w:w="9335" w:type="dxa"/>
        <w:jc w:val="left"/>
        <w:tblInd w:w="0" w:type="dxa"/>
        <w:tblLayout w:type="fixed"/>
        <w:tblCellMar>
          <w:top w:w="0" w:type="dxa"/>
          <w:left w:w="0" w:type="dxa"/>
          <w:bottom w:w="0" w:type="dxa"/>
          <w:right w:w="0" w:type="dxa"/>
        </w:tblCellMar>
      </w:tblPr>
      <w:tblGrid>
        <w:gridCol w:w="3601"/>
        <w:gridCol w:w="346"/>
        <w:gridCol w:w="1561"/>
        <w:gridCol w:w="34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TdxFWaTX5k2oSthdFfLWqQ_2_2"/>
      <w:bookmarkStart w:id="28" w:name="Tc_1mamRhPUx0Sb5Q_zEk7JCg_1_2"/>
      <w:bookmarkStart w:id="29" w:name="Tc_eSTvcr3yVUCmwrZXKtxngw_1_1"/>
      <w:bookmarkStart w:id="30" w:name="Tc_rGUk62VZXUOIR_QxkP40yQ_0_3"/>
      <w:bookmarkStart w:id="31" w:name="Tc_XFszWAAsvEaS5QSG-FUoag_0_2"/>
      <w:bookmarkStart w:id="32" w:name="Tc_I215Zg63l0OlPWjeyAC69A_0_1"/>
      <w:bookmarkStart w:id="33" w:name="Tc_Qn47JEGRXkKoQpHU2i-nCQ_0_0"/>
      <w:bookmarkStart w:id="34" w:name="_867b528b_598f_456a_a3b4_2afbf4ad2e22"/>
      <w:bookmarkStart w:id="35" w:name="Tc_TdxFWaTX5k2oSthdFfLWqQ_2_2"/>
      <w:bookmarkStart w:id="36" w:name="Tc_1mamRhPUx0Sb5Q_zEk7JCg_1_2"/>
      <w:bookmarkStart w:id="37" w:name="Tc_eSTvcr3yVUCmwrZXKtxngw_1_1"/>
      <w:bookmarkStart w:id="38" w:name="Tc_rGUk62VZXUOIR_QxkP40yQ_0_3"/>
      <w:bookmarkStart w:id="39" w:name="Tc_XFszWAAsvEaS5QSG-FUoag_0_2"/>
      <w:bookmarkStart w:id="40" w:name="Tc_I215Zg63l0OlPWjeyAC69A_0_1"/>
      <w:bookmarkStart w:id="41" w:name="Tc_Qn47JEGRXkKoQpHU2i-nCQ_0_0"/>
      <w:bookmarkStart w:id="42" w:name="_867b528b_598f_456a_a3b4_2afbf4ad2e22"/>
      <w:bookmarkEnd w:id="35"/>
      <w:bookmarkEnd w:id="36"/>
      <w:bookmarkEnd w:id="37"/>
      <w:bookmarkEnd w:id="38"/>
      <w:bookmarkEnd w:id="39"/>
      <w:bookmarkEnd w:id="40"/>
      <w:bookmarkEnd w:id="41"/>
      <w:bookmarkEnd w:id="42"/>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 registrant had 16,673,127 shares of common stock outstanding as of August 07, 2026.</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3" w:name="_3da82505_77e4_4959_aa8a_cc863011eb5f"/>
      <w:bookmarkStart w:id="44" w:name="TOC"/>
      <w:bookmarkEnd w:id="43"/>
      <w:bookmarkEnd w:id="44"/>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and six months ended June 30, 2026 and 2025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2026 and 2025</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SIGNATURES_772915">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979"/>
        <w:jc w:val="both"/>
        <w:rPr>
          <w:rFonts w:ascii="Times New Roman;Times;serif" w:hAnsi="Times New Roman;Times;serif"/>
          <w:b/>
          <w:sz w:val="20"/>
        </w:rPr>
      </w:pPr>
      <w:bookmarkStart w:id="45" w:name="PARTIFINANCIALINFORMATION_341259"/>
      <w:bookmarkStart w:id="46" w:name="_40e21bcf_7e58_44ce_92e1_27926ef65b0a"/>
      <w:bookmarkEnd w:id="45"/>
      <w:bookmarkEnd w:id="46"/>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47" w:name="Item1FinancialStatements_6919"/>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8" w:name="CONDENSEDCONSOLIDATEDBALANCESHEETS_74901"/>
      <w:bookmarkEnd w:id="4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 w:name="Tc_Xhn6osUz10enXZ87wXjqww_26_5"/>
      <w:bookmarkStart w:id="50" w:name="Tc_Zy8Vt-nONkWyfHXwKje9mw_26_2"/>
      <w:bookmarkStart w:id="51" w:name="Tc_lkkhLTeBE0iARg1s9ur5og_26_0"/>
      <w:bookmarkStart w:id="52" w:name="Tc_7teZUwATZkGU-Jd7keCASQ_25_0"/>
      <w:bookmarkStart w:id="53" w:name="Tc_OU3KWJBBFEan-NgzRKuQwA_24_0"/>
      <w:bookmarkStart w:id="54" w:name="Tc_88vTDEVFKE-jS_l_IzcKnw_23_0"/>
      <w:bookmarkStart w:id="55" w:name="Tc_w6asmCMfo0SerR7bTsV6ow_22_0"/>
      <w:bookmarkStart w:id="56" w:name="Tc_qPr8Q3EiAUezkQuhJ6PwVA_21_0"/>
      <w:bookmarkStart w:id="57" w:name="Tc_bjysQkVhj0S2pP3sL4VFPw_20_0"/>
      <w:bookmarkStart w:id="58" w:name="Tc_3SB2Z4APcUqPQNj_L2hmWQ_18_0"/>
      <w:bookmarkStart w:id="59" w:name="Tc_fnFzqy69XEWd9PtaETOQag_17_0"/>
      <w:bookmarkStart w:id="60" w:name="Tc_dheX8JZo7keG4delLPjA7Q_16_0"/>
      <w:bookmarkStart w:id="61" w:name="Tc_NjeAfB2asUSwy4YXH1alyg_15_6"/>
      <w:bookmarkStart w:id="62" w:name="Tc_V-J-CtJsTkqBzSS2w0Htyg_14_5"/>
      <w:bookmarkStart w:id="63" w:name="Tc_QZtod3_4DUireGIF9v0kpA_14_2"/>
      <w:bookmarkStart w:id="64" w:name="Tc_T2M3B7DFNk-Rjlyt62Z3sQ_14_0"/>
      <w:bookmarkStart w:id="65" w:name="Tc_KqT2gQR6Ike8Jmp4vVhV7w_13_0"/>
      <w:bookmarkStart w:id="66" w:name="Tc_nzHpSrFfF0agrQcV5XmyGg_12_0"/>
      <w:bookmarkStart w:id="67" w:name="Tc_99pfVnNmP0eP8cDJedMo_Q_10_5"/>
      <w:bookmarkStart w:id="68" w:name="Tc_1Qy7TWSs4UCoc7aCA_TY4Q_10_2"/>
      <w:bookmarkStart w:id="69" w:name="Tc_4qpmfOrZYESTZc5Di7PKhA_10_0"/>
      <w:bookmarkStart w:id="70" w:name="Tc_ljZbeGmTC0aSBt7S29MxBQ_9_0"/>
      <w:bookmarkStart w:id="71" w:name="Tc_uQaUJyak4EeWiCI9xYVlsQ_8_0"/>
      <w:bookmarkStart w:id="72" w:name="Tc_3_ldIoY5dEq4wsM83PpoYw_7_0"/>
      <w:bookmarkStart w:id="73" w:name="Tc_ILO-odAj_UCnBtD5P7sN2g_6_0"/>
      <w:bookmarkStart w:id="74" w:name="Tc_tXfaoiWiVkqXUF2LURTfSA_5_5"/>
      <w:bookmarkStart w:id="75" w:name="Tc_fTXeRlFaTE21f-1H13YBXQ_5_2"/>
      <w:bookmarkStart w:id="76" w:name="Tc_FpGi39XUIUuKAo3XV6UueA_5_0"/>
      <w:bookmarkStart w:id="77" w:name="Tc_VPhh21CYjkubeOKd6ykMkQ_4_0"/>
      <w:bookmarkStart w:id="78" w:name="Tc_5GAlZWZWL0W6uOCbqRPDsw_3_0"/>
      <w:bookmarkStart w:id="79" w:name="Tc_RLp_-nPi40CCKMyvv9p_Jw_2_5"/>
      <w:bookmarkStart w:id="80" w:name="Tc_a78LvSo1GkSuje0QeuH17Q_2_2"/>
      <w:bookmarkStart w:id="81" w:name="Tc_58yLKeYW8UKIg7NO40fxgg_1_5"/>
      <w:bookmarkStart w:id="82" w:name="Tc_h0EwhngHiUmDLKTqyhSREw_1_2"/>
      <w:bookmarkStart w:id="83" w:name="_26afe0e9_21d1_4a66_8191_7bdba9228693"/>
      <w:bookmarkStart w:id="84" w:name="Tc_Xhn6osUz10enXZ87wXjqww_26_5"/>
      <w:bookmarkStart w:id="85" w:name="Tc_Zy8Vt-nONkWyfHXwKje9mw_26_2"/>
      <w:bookmarkStart w:id="86" w:name="Tc_lkkhLTeBE0iARg1s9ur5og_26_0"/>
      <w:bookmarkStart w:id="87" w:name="Tc_7teZUwATZkGU-Jd7keCASQ_25_0"/>
      <w:bookmarkStart w:id="88" w:name="Tc_OU3KWJBBFEan-NgzRKuQwA_24_0"/>
      <w:bookmarkStart w:id="89" w:name="Tc_88vTDEVFKE-jS_l_IzcKnw_23_0"/>
      <w:bookmarkStart w:id="90" w:name="Tc_w6asmCMfo0SerR7bTsV6ow_22_0"/>
      <w:bookmarkStart w:id="91" w:name="Tc_qPr8Q3EiAUezkQuhJ6PwVA_21_0"/>
      <w:bookmarkStart w:id="92" w:name="Tc_bjysQkVhj0S2pP3sL4VFPw_20_0"/>
      <w:bookmarkStart w:id="93" w:name="Tc_3SB2Z4APcUqPQNj_L2hmWQ_18_0"/>
      <w:bookmarkStart w:id="94" w:name="Tc_fnFzqy69XEWd9PtaETOQag_17_0"/>
      <w:bookmarkStart w:id="95" w:name="Tc_dheX8JZo7keG4delLPjA7Q_16_0"/>
      <w:bookmarkStart w:id="96" w:name="Tc_NjeAfB2asUSwy4YXH1alyg_15_6"/>
      <w:bookmarkStart w:id="97" w:name="Tc_V-J-CtJsTkqBzSS2w0Htyg_14_5"/>
      <w:bookmarkStart w:id="98" w:name="Tc_QZtod3_4DUireGIF9v0kpA_14_2"/>
      <w:bookmarkStart w:id="99" w:name="Tc_T2M3B7DFNk-Rjlyt62Z3sQ_14_0"/>
      <w:bookmarkStart w:id="100" w:name="Tc_KqT2gQR6Ike8Jmp4vVhV7w_13_0"/>
      <w:bookmarkStart w:id="101" w:name="Tc_nzHpSrFfF0agrQcV5XmyGg_12_0"/>
      <w:bookmarkStart w:id="102" w:name="Tc_99pfVnNmP0eP8cDJedMo_Q_10_5"/>
      <w:bookmarkStart w:id="103" w:name="Tc_1Qy7TWSs4UCoc7aCA_TY4Q_10_2"/>
      <w:bookmarkStart w:id="104" w:name="Tc_4qpmfOrZYESTZc5Di7PKhA_10_0"/>
      <w:bookmarkStart w:id="105" w:name="Tc_ljZbeGmTC0aSBt7S29MxBQ_9_0"/>
      <w:bookmarkStart w:id="106" w:name="Tc_uQaUJyak4EeWiCI9xYVlsQ_8_0"/>
      <w:bookmarkStart w:id="107" w:name="Tc_3_ldIoY5dEq4wsM83PpoYw_7_0"/>
      <w:bookmarkStart w:id="108" w:name="Tc_ILO-odAj_UCnBtD5P7sN2g_6_0"/>
      <w:bookmarkStart w:id="109" w:name="Tc_tXfaoiWiVkqXUF2LURTfSA_5_5"/>
      <w:bookmarkStart w:id="110" w:name="Tc_fTXeRlFaTE21f-1H13YBXQ_5_2"/>
      <w:bookmarkStart w:id="111" w:name="Tc_FpGi39XUIUuKAo3XV6UueA_5_0"/>
      <w:bookmarkStart w:id="112" w:name="Tc_VPhh21CYjkubeOKd6ykMkQ_4_0"/>
      <w:bookmarkStart w:id="113" w:name="Tc_5GAlZWZWL0W6uOCbqRPDsw_3_0"/>
      <w:bookmarkStart w:id="114" w:name="Tc_RLp_-nPi40CCKMyvv9p_Jw_2_5"/>
      <w:bookmarkStart w:id="115" w:name="Tc_a78LvSo1GkSuje0QeuH17Q_2_2"/>
      <w:bookmarkStart w:id="116" w:name="Tc_58yLKeYW8UKIg7NO40fxgg_1_5"/>
      <w:bookmarkStart w:id="117" w:name="Tc_h0EwhngHiUmDLKTqyhSREw_1_2"/>
      <w:bookmarkStart w:id="118" w:name="_26afe0e9_21d1_4a66_8191_7bdba922869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10205" w:type="dxa"/>
        <w:jc w:val="left"/>
        <w:tblInd w:w="0" w:type="dxa"/>
        <w:tblLayout w:type="fixed"/>
        <w:tblCellMar>
          <w:top w:w="0" w:type="dxa"/>
          <w:left w:w="0" w:type="dxa"/>
          <w:bottom w:w="0" w:type="dxa"/>
          <w:right w:w="0" w:type="dxa"/>
        </w:tblCellMar>
      </w:tblPr>
      <w:tblGrid>
        <w:gridCol w:w="6598"/>
        <w:gridCol w:w="346"/>
        <w:gridCol w:w="211"/>
        <w:gridCol w:w="1223"/>
        <w:gridCol w:w="346"/>
        <w:gridCol w:w="211"/>
        <w:gridCol w:w="1270"/>
      </w:tblGrid>
      <w:tr>
        <w:trPr/>
        <w:tc>
          <w:tcPr>
            <w:tcW w:w="6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189730" cy="175260"/>
                      <wp:effectExtent l="0" t="0" r="0" b="0"/>
                      <wp:wrapNone/>
                      <wp:docPr id="5" name="Frame4"/>
                      <a:graphic xmlns:a="http://schemas.openxmlformats.org/drawingml/2006/main">
                        <a:graphicData uri="http://schemas.microsoft.com/office/word/2010/wordprocessingShape">
                          <wps:wsp>
                            <wps:cNvSpPr txBox="1"/>
                            <wps:spPr>
                              <a:xfrm>
                                <a:off x="0" y="0"/>
                                <a:ext cx="41897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76605" cy="175260"/>
                      <wp:effectExtent l="0" t="0" r="0" b="0"/>
                      <wp:wrapNone/>
                      <wp:docPr id="8" name="Frame7"/>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6450" cy="175260"/>
                      <wp:effectExtent l="0" t="0" r="0" b="0"/>
                      <wp:wrapNone/>
                      <wp:docPr id="11" name="Frame10"/>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598"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4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both"/>
              <w:rPr/>
            </w:pPr>
            <w:r>
              <w:rPr/>
              <w:t>  ​ ​ ​</w:t>
            </w:r>
          </w:p>
        </w:tc>
        <w:tc>
          <w:tcPr>
            <w:tcW w:w="14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598"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w:t>
            </w:r>
          </w:p>
        </w:tc>
        <w:tc>
          <w:tcPr>
            <w:tcW w:w="14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both"/>
              <w:rPr/>
            </w:pPr>
            <w:r>
              <w:rPr/>
              <w:t>​</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both"/>
              <w:rPr/>
            </w:pPr>
            <w:r>
              <w:rPr/>
              <w:t>​</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11,331,023</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16,068,048</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591,309</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974,799</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1,043,676</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658,750</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1,619,477</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1,369,400</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14,585,485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19,070,997</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14,585,485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19,070,997</w:t>
            </w:r>
          </w:p>
        </w:tc>
      </w:tr>
      <w:tr>
        <w:trPr/>
        <w:tc>
          <w:tcPr>
            <w:tcW w:w="6598"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pPr>
            <w:r>
              <w:rPr/>
              <w:t>​</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pPr>
            <w:r>
              <w:rPr/>
              <w:t>  ​</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pPr>
            <w:r>
              <w:rPr/>
              <w:t>  ​</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1,023,917</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1,299,384</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804,795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pPr>
            <w:r>
              <w:rPr/>
              <w:t>—</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grant income</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591,309</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974,799</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2,420,021</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2,274,183</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2,420,021</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2,274,183</w:t>
            </w:r>
          </w:p>
        </w:tc>
      </w:tr>
      <w:tr>
        <w:trPr/>
        <w:tc>
          <w:tcPr>
            <w:tcW w:w="6598"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pPr>
            <w:r>
              <w:rPr/>
              <w:t>​</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pPr>
            <w:r>
              <w:rPr/>
              <w:t>​</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June 30, 2026 and December 31, 2025, respectively</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$0.001 par value, 130 million shares authorized, 16.7 million shares issued and outstanding as of June 30, 2026 and December 31, 2025, respectively (see Note 8)</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16,672</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16,672</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476,335,097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475,960,940</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(464,186,305)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(459,180,798)</w:t>
            </w:r>
          </w:p>
        </w:tc>
      </w:tr>
      <w:tr>
        <w:trPr/>
        <w:tc>
          <w:tcPr>
            <w:tcW w:w="65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12,165,464</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16,796,814</w:t>
            </w:r>
          </w:p>
        </w:tc>
      </w:tr>
      <w:tr>
        <w:trPr/>
        <w:tc>
          <w:tcPr>
            <w:tcW w:w="6598"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14,585,485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19,070,997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9" w:name="_86ddc02a_5e80_4b05_b1b4_47e6edf30392"/>
      <w:bookmarkEnd w:id="119"/>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20" w:name="CONDENSEDCONSOLIDATEDSTATEMENTSOFOPERATI"/>
      <w:bookmarkEnd w:id="12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21" w:name="Tc_578gWsLI30OaQ31RlX3eUw_21_0"/>
      <w:bookmarkStart w:id="122" w:name="Tc_BaEeCnG-b0uLk_j3tMTIUA_20_0"/>
      <w:bookmarkStart w:id="123" w:name="Tc_nc24qstZ3E2z68WZvYfvCA_19_0"/>
      <w:bookmarkStart w:id="124" w:name="Tc_Fx7MooJ4AEq_sX5awIbUHQ_17_11"/>
      <w:bookmarkStart w:id="125" w:name="Tc_u8VAYGgTAUSGpzvaPNRy0Q_17_8"/>
      <w:bookmarkStart w:id="126" w:name="Tc_zqxL_HC7eU6hWbGm6Rot7A_17_5"/>
      <w:bookmarkStart w:id="127" w:name="Tc_MMbl7ceALEunHn8a4v67lA_17_2"/>
      <w:bookmarkStart w:id="128" w:name="Tc_GvtilFF000aNGETkeV7s3g_17_0"/>
      <w:bookmarkStart w:id="129" w:name="Tc_meccQnvXok2Eu1lUqB1H1A_16_0"/>
      <w:bookmarkStart w:id="130" w:name="Tc_3-FNk5b80kiUgON8H2aTYw_14_11"/>
      <w:bookmarkStart w:id="131" w:name="Tc_tab41SvS4k6V-YUdzRaOmA_14_8"/>
      <w:bookmarkStart w:id="132" w:name="Tc_JMk4JKULTEmIoNKyqm8DWg_14_5"/>
      <w:bookmarkStart w:id="133" w:name="Tc_PYePScH2qkmBSrMOPdSwqg_14_2"/>
      <w:bookmarkStart w:id="134" w:name="Tc_r3-J6IEsZ0m8Sc4My3xPzA_14_0"/>
      <w:bookmarkStart w:id="135" w:name="Tc_13k1geJt4kuy9Znv7HRplg_13_3"/>
      <w:bookmarkStart w:id="136" w:name="Tc_x_KOpp7B-EywPVXynXA1qw_13_0"/>
      <w:bookmarkStart w:id="137" w:name="Tc_pH8pHm_p3EmBtRod38OAAA_12_0"/>
      <w:bookmarkStart w:id="138" w:name="Tc_FTytIkP3YkiSgOOW9chkaQ_11_0"/>
      <w:bookmarkStart w:id="139" w:name="Tc__qUpPNsRjEWi4_nxH5H36g_10_0"/>
      <w:bookmarkStart w:id="140" w:name="Tc_X7whPSterkmByH30eoVfWg_9_0"/>
      <w:bookmarkStart w:id="141" w:name="Tc_VOdg_RoREUqS4Rv9xCSXAA_8_0"/>
      <w:bookmarkStart w:id="142" w:name="Tc_wiybDBnVGkKtTkKP08rorg_7_9"/>
      <w:bookmarkStart w:id="143" w:name="Tc_ipiuZHHAXkW-Pi8hvvo_sg_7_6"/>
      <w:bookmarkStart w:id="144" w:name="Tc_ryJNeOXWaE-UnBZ0-KDQKw_7_3"/>
      <w:bookmarkStart w:id="145" w:name="Tc_aZ3JSCO3r0iCH-a8SL8HQQ_7_0"/>
      <w:bookmarkStart w:id="146" w:name="Tc_cwKnWUQhn0C2jg3HbRjs7g_6_0"/>
      <w:bookmarkStart w:id="147" w:name="Tc_M4xN35PZIU-tRKp7sacsbw_5_11"/>
      <w:bookmarkStart w:id="148" w:name="Tc_Li8SRp5oVk2zmWTwAoLufw_5_8"/>
      <w:bookmarkStart w:id="149" w:name="Tc_MfrFeedylEqMr8milbGOPQ_5_5"/>
      <w:bookmarkStart w:id="150" w:name="Tc__V6hNo8_AUqp_l1WjdksBg_5_2"/>
      <w:bookmarkStart w:id="151" w:name="Tc_T7_7poEK40e-TOYcL81W9Q_5_0"/>
      <w:bookmarkStart w:id="152" w:name="Tc_-pA6Q8mWD0y53lV1nsc3rQ_4_0"/>
      <w:bookmarkStart w:id="153" w:name="Tc_8z2wxA3nJ0ipcmGCm1afYQ_3_11"/>
      <w:bookmarkStart w:id="154" w:name="Tc_FsOYFr1aB0yQ-9863343jg_3_8"/>
      <w:bookmarkStart w:id="155" w:name="Tc_d1dhC49ouU60ryrf37tSUw_3_5"/>
      <w:bookmarkStart w:id="156" w:name="Tc_xJDpakVrQU-Nz2uqFTcpug_3_2"/>
      <w:bookmarkStart w:id="157" w:name="Tc_fWSja7v-MUGUfzV4j_v7Bw_2_8"/>
      <w:bookmarkStart w:id="158" w:name="Tc_FBAYtqGt5EyDxLu1Ye9rtg_2_2"/>
      <w:bookmarkStart w:id="159" w:name="Tc_pehSXwATaUyrQ7cHusAeIw_1_8"/>
      <w:bookmarkStart w:id="160" w:name="Tc_lgxh_fnnHEWYh9MVuF_PvQ_1_2"/>
      <w:bookmarkStart w:id="161" w:name="_27f4abe9_6cf8_486a_b066_c8b756ce667b"/>
      <w:bookmarkStart w:id="162" w:name="_20c1f205_f1f1_4485_855d_a9970cde981b"/>
      <w:bookmarkStart w:id="163" w:name="Tc_578gWsLI30OaQ31RlX3eUw_21_0"/>
      <w:bookmarkStart w:id="164" w:name="Tc_BaEeCnG-b0uLk_j3tMTIUA_20_0"/>
      <w:bookmarkStart w:id="165" w:name="Tc_nc24qstZ3E2z68WZvYfvCA_19_0"/>
      <w:bookmarkStart w:id="166" w:name="Tc_Fx7MooJ4AEq_sX5awIbUHQ_17_11"/>
      <w:bookmarkStart w:id="167" w:name="Tc_u8VAYGgTAUSGpzvaPNRy0Q_17_8"/>
      <w:bookmarkStart w:id="168" w:name="Tc_zqxL_HC7eU6hWbGm6Rot7A_17_5"/>
      <w:bookmarkStart w:id="169" w:name="Tc_MMbl7ceALEunHn8a4v67lA_17_2"/>
      <w:bookmarkStart w:id="170" w:name="Tc_GvtilFF000aNGETkeV7s3g_17_0"/>
      <w:bookmarkStart w:id="171" w:name="Tc_meccQnvXok2Eu1lUqB1H1A_16_0"/>
      <w:bookmarkStart w:id="172" w:name="Tc_3-FNk5b80kiUgON8H2aTYw_14_11"/>
      <w:bookmarkStart w:id="173" w:name="Tc_tab41SvS4k6V-YUdzRaOmA_14_8"/>
      <w:bookmarkStart w:id="174" w:name="Tc_JMk4JKULTEmIoNKyqm8DWg_14_5"/>
      <w:bookmarkStart w:id="175" w:name="Tc_PYePScH2qkmBSrMOPdSwqg_14_2"/>
      <w:bookmarkStart w:id="176" w:name="Tc_r3-J6IEsZ0m8Sc4My3xPzA_14_0"/>
      <w:bookmarkStart w:id="177" w:name="Tc_13k1geJt4kuy9Znv7HRplg_13_3"/>
      <w:bookmarkStart w:id="178" w:name="Tc_x_KOpp7B-EywPVXynXA1qw_13_0"/>
      <w:bookmarkStart w:id="179" w:name="Tc_pH8pHm_p3EmBtRod38OAAA_12_0"/>
      <w:bookmarkStart w:id="180" w:name="Tc_FTytIkP3YkiSgOOW9chkaQ_11_0"/>
      <w:bookmarkStart w:id="181" w:name="Tc__qUpPNsRjEWi4_nxH5H36g_10_0"/>
      <w:bookmarkStart w:id="182" w:name="Tc_X7whPSterkmByH30eoVfWg_9_0"/>
      <w:bookmarkStart w:id="183" w:name="Tc_VOdg_RoREUqS4Rv9xCSXAA_8_0"/>
      <w:bookmarkStart w:id="184" w:name="Tc_wiybDBnVGkKtTkKP08rorg_7_9"/>
      <w:bookmarkStart w:id="185" w:name="Tc_ipiuZHHAXkW-Pi8hvvo_sg_7_6"/>
      <w:bookmarkStart w:id="186" w:name="Tc_ryJNeOXWaE-UnBZ0-KDQKw_7_3"/>
      <w:bookmarkStart w:id="187" w:name="Tc_aZ3JSCO3r0iCH-a8SL8HQQ_7_0"/>
      <w:bookmarkStart w:id="188" w:name="Tc_cwKnWUQhn0C2jg3HbRjs7g_6_0"/>
      <w:bookmarkStart w:id="189" w:name="Tc_M4xN35PZIU-tRKp7sacsbw_5_11"/>
      <w:bookmarkStart w:id="190" w:name="Tc_Li8SRp5oVk2zmWTwAoLufw_5_8"/>
      <w:bookmarkStart w:id="191" w:name="Tc_MfrFeedylEqMr8milbGOPQ_5_5"/>
      <w:bookmarkStart w:id="192" w:name="Tc__V6hNo8_AUqp_l1WjdksBg_5_2"/>
      <w:bookmarkStart w:id="193" w:name="Tc_T7_7poEK40e-TOYcL81W9Q_5_0"/>
      <w:bookmarkStart w:id="194" w:name="Tc_-pA6Q8mWD0y53lV1nsc3rQ_4_0"/>
      <w:bookmarkStart w:id="195" w:name="Tc_8z2wxA3nJ0ipcmGCm1afYQ_3_11"/>
      <w:bookmarkStart w:id="196" w:name="Tc_FsOYFr1aB0yQ-9863343jg_3_8"/>
      <w:bookmarkStart w:id="197" w:name="Tc_d1dhC49ouU60ryrf37tSUw_3_5"/>
      <w:bookmarkStart w:id="198" w:name="Tc_xJDpakVrQU-Nz2uqFTcpug_3_2"/>
      <w:bookmarkStart w:id="199" w:name="Tc_fWSja7v-MUGUfzV4j_v7Bw_2_8"/>
      <w:bookmarkStart w:id="200" w:name="Tc_FBAYtqGt5EyDxLu1Ye9rtg_2_2"/>
      <w:bookmarkStart w:id="201" w:name="Tc_pehSXwATaUyrQ7cHusAeIw_1_8"/>
      <w:bookmarkStart w:id="202" w:name="Tc_lgxh_fnnHEWYh9MVuF_PvQ_1_2"/>
      <w:bookmarkStart w:id="203" w:name="_27f4abe9_6cf8_486a_b066_c8b756ce667b"/>
      <w:bookmarkStart w:id="204" w:name="_20c1f205_f1f1_4485_855d_a9970cde981b"/>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tbl>
      <w:tblPr>
        <w:tblW w:w="10205" w:type="dxa"/>
        <w:jc w:val="left"/>
        <w:tblInd w:w="0" w:type="dxa"/>
        <w:tblLayout w:type="fixed"/>
        <w:tblCellMar>
          <w:top w:w="0" w:type="dxa"/>
          <w:left w:w="0" w:type="dxa"/>
          <w:bottom w:w="0" w:type="dxa"/>
          <w:right w:w="0" w:type="dxa"/>
        </w:tblCellMar>
      </w:tblPr>
      <w:tblGrid>
        <w:gridCol w:w="3657"/>
        <w:gridCol w:w="346"/>
        <w:gridCol w:w="211"/>
        <w:gridCol w:w="1046"/>
        <w:gridCol w:w="346"/>
        <w:gridCol w:w="211"/>
        <w:gridCol w:w="1046"/>
        <w:gridCol w:w="346"/>
        <w:gridCol w:w="211"/>
        <w:gridCol w:w="1046"/>
        <w:gridCol w:w="346"/>
        <w:gridCol w:w="211"/>
        <w:gridCol w:w="1182"/>
      </w:tblGrid>
      <w:tr>
        <w:trPr/>
        <w:tc>
          <w:tcPr>
            <w:tcW w:w="3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322195" cy="175260"/>
                      <wp:effectExtent l="0" t="0" r="0" b="0"/>
                      <wp:wrapNone/>
                      <wp:docPr id="12" name="Frame11"/>
                      <a:graphic xmlns:a="http://schemas.openxmlformats.org/drawingml/2006/main">
                        <a:graphicData uri="http://schemas.microsoft.com/office/word/2010/wordprocessingShape">
                          <wps:wsp>
                            <wps:cNvSpPr txBox="1"/>
                            <wps:spPr>
                              <a:xfrm>
                                <a:off x="0" y="0"/>
                                <a:ext cx="23221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4210" cy="175260"/>
                      <wp:effectExtent l="0" t="0" r="0" b="0"/>
                      <wp:wrapNone/>
                      <wp:docPr id="15" name="Frame1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4210" cy="175260"/>
                      <wp:effectExtent l="0" t="0" r="0" b="0"/>
                      <wp:wrapNone/>
                      <wp:docPr id="18" name="Frame1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4210" cy="175260"/>
                      <wp:effectExtent l="0" t="0" r="0" b="0"/>
                      <wp:wrapNone/>
                      <wp:docPr id="21" name="Frame2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50570" cy="175260"/>
                      <wp:effectExtent l="0" t="0" r="0" b="0"/>
                      <wp:wrapNone/>
                      <wp:docPr id="24" name="Frame2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657"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28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both"/>
              <w:rPr/>
            </w:pPr>
            <w:r>
              <w:rPr/>
              <w:t> </w:t>
            </w:r>
          </w:p>
        </w:tc>
        <w:tc>
          <w:tcPr>
            <w:tcW w:w="299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657"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8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both"/>
              <w:rPr/>
            </w:pPr>
            <w:r>
              <w:rPr/>
              <w:t> </w:t>
            </w:r>
          </w:p>
        </w:tc>
        <w:tc>
          <w:tcPr>
            <w:tcW w:w="29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57"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both"/>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3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2" w:type="dxa"/>
            <w:tcBorders/>
            <w:shd w:fill="CCEEFF" w:val="clear"/>
            <w:vAlign w:val="center"/>
          </w:tcPr>
          <w:p>
            <w:pPr>
              <w:pStyle w:val="TableContents"/>
              <w:bidi w:val="0"/>
              <w:spacing w:before="0" w:after="1"/>
              <w:ind w:left="0" w:right="0" w:hanging="0"/>
              <w:jc w:val="both"/>
              <w:rPr/>
            </w:pPr>
            <w:r>
              <w:rPr/>
              <w:t>​</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1,476,161</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4,177,054</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4,318,888</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7,312,481</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1,144,205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945,163</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2,374,012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2,314,378</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on early termination of vendor agreement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453,135</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2,620,366</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5,122,217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6,692,900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10,079,994</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(2,620,366)</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(5,122,217)</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(6,692,900)</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(10,079,994)</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681,579</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861,184</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1,433,270</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1,210,288</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112,558</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128,025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245,446</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290,514</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8,677</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117,444</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(1,826,229)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(4,015,564)</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(5,005,507)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(8,461,748)</w:t>
            </w:r>
          </w:p>
        </w:tc>
      </w:tr>
      <w:tr>
        <w:trPr/>
        <w:tc>
          <w:tcPr>
            <w:tcW w:w="3657" w:type="dxa"/>
            <w:tcBorders/>
            <w:vAlign w:val="center"/>
          </w:tcPr>
          <w:p>
            <w:pPr>
              <w:pStyle w:val="TableContents"/>
              <w:pBdr/>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2" w:type="dxa"/>
            <w:tcBorders/>
            <w:vAlign w:val="center"/>
          </w:tcPr>
          <w:p>
            <w:pPr>
              <w:pStyle w:val="TableContents"/>
              <w:bidi w:val="0"/>
              <w:spacing w:before="0" w:after="1"/>
              <w:ind w:left="0" w:right="0" w:hanging="0"/>
              <w:jc w:val="right"/>
              <w:rPr/>
            </w:pPr>
            <w:r>
              <w:rPr/>
              <w:t>​</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r>
      <w:tr>
        <w:trPr/>
        <w:tc>
          <w:tcPr>
            <w:tcW w:w="3657" w:type="dxa"/>
            <w:tcBorders/>
            <w:shd w:fill="CCEEFF" w:val="clear"/>
            <w:vAlign w:val="center"/>
          </w:tcPr>
          <w:p>
            <w:pPr>
              <w:pStyle w:val="TableContents"/>
              <w:pBdr/>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2" w:type="dxa"/>
            <w:tcBorders/>
            <w:vAlign w:val="center"/>
          </w:tcPr>
          <w:p>
            <w:pPr>
              <w:pStyle w:val="TableContents"/>
              <w:bidi w:val="0"/>
              <w:spacing w:before="0" w:after="1"/>
              <w:ind w:left="0" w:right="0" w:hanging="0"/>
              <w:jc w:val="right"/>
              <w:rPr/>
            </w:pPr>
            <w:r>
              <w:rPr/>
              <w:t>​</w:t>
            </w:r>
          </w:p>
        </w:tc>
      </w:tr>
      <w:tr>
        <w:trPr/>
        <w:tc>
          <w:tcPr>
            <w:tcW w:w="3657"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r>
      <w:tr>
        <w:trPr/>
        <w:tc>
          <w:tcPr>
            <w:tcW w:w="3657"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18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12,539,169</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5" w:name="_b755027c_9100_4c50_897e_42b3aa0cff3d"/>
      <w:bookmarkEnd w:id="205"/>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06" w:name="CONDENSEDCONSOLIDATEDSTATEMENTSOFSTOCKHO"/>
      <w:bookmarkEnd w:id="20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07" w:name="Tc_cdE5XEcAhku3N6hbmgDLRw_8_13"/>
      <w:bookmarkStart w:id="208" w:name="Tc_nfq0H-lWL0Ok96n_69-4ow_8_10"/>
      <w:bookmarkStart w:id="209" w:name="Tc_gbluf0s0aE2jD63JtB9S5g_8_7"/>
      <w:bookmarkStart w:id="210" w:name="Tc_Ct0jilTJo0ST3wOUgz296g_8_4"/>
      <w:bookmarkStart w:id="211" w:name="Tc_XA4o6-6loUSuNEkhDEr_lg_8_0"/>
      <w:bookmarkStart w:id="212" w:name="Tc_6-X_nglWeEuGoojRqcmDew_7_8"/>
      <w:bookmarkStart w:id="213" w:name="Tc_Wg0MdwoPsECioQfnDmcpKQ_7_5"/>
      <w:bookmarkStart w:id="214" w:name="Tc_qACezaO7WEGpQkyemF0CBw_7_2"/>
      <w:bookmarkStart w:id="215" w:name="Tc_wrV_LZdk7kiAufUSI8mosw_7_0"/>
      <w:bookmarkStart w:id="216" w:name="Tc_FC8dKgd3QEu41AafVvzwPw_6_11"/>
      <w:bookmarkStart w:id="217" w:name="Tc_5uNgwZzyH0e9Z6L-TZztXA_6_5"/>
      <w:bookmarkStart w:id="218" w:name="Tc_ywycxnrlbEW9e8qi8z7OQg_6_2"/>
      <w:bookmarkStart w:id="219" w:name="Tc_pfBjcBoj80KhgczUZ2VG4g_6_0"/>
      <w:bookmarkStart w:id="220" w:name="Tc_r02NEa7uckGm7TTuiZVOlQ_5_13"/>
      <w:bookmarkStart w:id="221" w:name="Tc_3zy3jMyvLk-NiiRsKSCHww_5_10"/>
      <w:bookmarkStart w:id="222" w:name="Tc_caLxnNBm5UCAAQs7buFvJQ_5_7"/>
      <w:bookmarkStart w:id="223" w:name="Tc_dKBlAEIKLkaPN1RCziBfWg_5_4"/>
      <w:bookmarkStart w:id="224" w:name="Tc_hYnkVUGp202OrBz_X9skFQ_5_0"/>
      <w:bookmarkStart w:id="225" w:name="Tc_YsWVKkSrIESKItHg5MG7Aw_4_13"/>
      <w:bookmarkStart w:id="226" w:name="Tc_U68zGSGGPEumiNYKiJ5tWg_4_10"/>
      <w:bookmarkStart w:id="227" w:name="Tc_VgWZhj3XO0iSsQpUnliPiQ_4_7"/>
      <w:bookmarkStart w:id="228" w:name="Tc_ybUXmlhnLECKjpK_ofIB1Q_4_4"/>
      <w:bookmarkStart w:id="229" w:name="Tc_lnpbi-hSVkiU3as0uRPMfA_4_2"/>
      <w:bookmarkStart w:id="230" w:name="Tc_ebPoKwC3qU60rF_POh5-yQ_3_13"/>
      <w:bookmarkStart w:id="231" w:name="Tc_a_uapKP8B0a5f644u8l_bw_3_10"/>
      <w:bookmarkStart w:id="232" w:name="Tc_e6CJDxJFCkqNpqIR3MoZKg_3_7"/>
      <w:bookmarkStart w:id="233" w:name="Tc_hiR2oR8DOUS_NSgiui_oYw_3_2"/>
      <w:bookmarkStart w:id="234" w:name="Tc_6ZEaHXcwQUiWwwJbzDyXPA_2_13"/>
      <w:bookmarkStart w:id="235" w:name="Tc_SsIq0BV_oUSeog9XPBG8Yg_1_2"/>
      <w:bookmarkStart w:id="236" w:name="_61df9c88_5d51_492c_8c04_c37cd1a34ed4"/>
      <w:bookmarkStart w:id="237" w:name="Tc_cdE5XEcAhku3N6hbmgDLRw_8_13"/>
      <w:bookmarkStart w:id="238" w:name="Tc_nfq0H-lWL0Ok96n_69-4ow_8_10"/>
      <w:bookmarkStart w:id="239" w:name="Tc_gbluf0s0aE2jD63JtB9S5g_8_7"/>
      <w:bookmarkStart w:id="240" w:name="Tc_Ct0jilTJo0ST3wOUgz296g_8_4"/>
      <w:bookmarkStart w:id="241" w:name="Tc_XA4o6-6loUSuNEkhDEr_lg_8_0"/>
      <w:bookmarkStart w:id="242" w:name="Tc_6-X_nglWeEuGoojRqcmDew_7_8"/>
      <w:bookmarkStart w:id="243" w:name="Tc_Wg0MdwoPsECioQfnDmcpKQ_7_5"/>
      <w:bookmarkStart w:id="244" w:name="Tc_qACezaO7WEGpQkyemF0CBw_7_2"/>
      <w:bookmarkStart w:id="245" w:name="Tc_wrV_LZdk7kiAufUSI8mosw_7_0"/>
      <w:bookmarkStart w:id="246" w:name="Tc_FC8dKgd3QEu41AafVvzwPw_6_11"/>
      <w:bookmarkStart w:id="247" w:name="Tc_5uNgwZzyH0e9Z6L-TZztXA_6_5"/>
      <w:bookmarkStart w:id="248" w:name="Tc_ywycxnrlbEW9e8qi8z7OQg_6_2"/>
      <w:bookmarkStart w:id="249" w:name="Tc_pfBjcBoj80KhgczUZ2VG4g_6_0"/>
      <w:bookmarkStart w:id="250" w:name="Tc_r02NEa7uckGm7TTuiZVOlQ_5_13"/>
      <w:bookmarkStart w:id="251" w:name="Tc_3zy3jMyvLk-NiiRsKSCHww_5_10"/>
      <w:bookmarkStart w:id="252" w:name="Tc_caLxnNBm5UCAAQs7buFvJQ_5_7"/>
      <w:bookmarkStart w:id="253" w:name="Tc_dKBlAEIKLkaPN1RCziBfWg_5_4"/>
      <w:bookmarkStart w:id="254" w:name="Tc_hYnkVUGp202OrBz_X9skFQ_5_0"/>
      <w:bookmarkStart w:id="255" w:name="Tc_YsWVKkSrIESKItHg5MG7Aw_4_13"/>
      <w:bookmarkStart w:id="256" w:name="Tc_U68zGSGGPEumiNYKiJ5tWg_4_10"/>
      <w:bookmarkStart w:id="257" w:name="Tc_VgWZhj3XO0iSsQpUnliPiQ_4_7"/>
      <w:bookmarkStart w:id="258" w:name="Tc_ybUXmlhnLECKjpK_ofIB1Q_4_4"/>
      <w:bookmarkStart w:id="259" w:name="Tc_lnpbi-hSVkiU3as0uRPMfA_4_2"/>
      <w:bookmarkStart w:id="260" w:name="Tc_ebPoKwC3qU60rF_POh5-yQ_3_13"/>
      <w:bookmarkStart w:id="261" w:name="Tc_a_uapKP8B0a5f644u8l_bw_3_10"/>
      <w:bookmarkStart w:id="262" w:name="Tc_e6CJDxJFCkqNpqIR3MoZKg_3_7"/>
      <w:bookmarkStart w:id="263" w:name="Tc_hiR2oR8DOUS_NSgiui_oYw_3_2"/>
      <w:bookmarkStart w:id="264" w:name="Tc_6ZEaHXcwQUiWwwJbzDyXPA_2_13"/>
      <w:bookmarkStart w:id="265" w:name="Tc_SsIq0BV_oUSeog9XPBG8Yg_1_2"/>
      <w:bookmarkStart w:id="266" w:name="_61df9c88_5d51_492c_8c04_c37cd1a34ed4"/>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9357" w:type="dxa"/>
        <w:jc w:val="left"/>
        <w:tblInd w:w="0" w:type="dxa"/>
        <w:tblLayout w:type="fixed"/>
        <w:tblCellMar>
          <w:top w:w="0" w:type="dxa"/>
          <w:left w:w="0" w:type="dxa"/>
          <w:bottom w:w="0" w:type="dxa"/>
          <w:right w:w="0" w:type="dxa"/>
        </w:tblCellMar>
      </w:tblPr>
      <w:tblGrid>
        <w:gridCol w:w="2056"/>
        <w:gridCol w:w="346"/>
        <w:gridCol w:w="916"/>
        <w:gridCol w:w="346"/>
        <w:gridCol w:w="199"/>
        <w:gridCol w:w="612"/>
        <w:gridCol w:w="346"/>
        <w:gridCol w:w="212"/>
        <w:gridCol w:w="1093"/>
        <w:gridCol w:w="346"/>
        <w:gridCol w:w="196"/>
        <w:gridCol w:w="1126"/>
        <w:gridCol w:w="346"/>
        <w:gridCol w:w="196"/>
        <w:gridCol w:w="102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5560" cy="175260"/>
                      <wp:effectExtent l="0" t="0" r="0" b="0"/>
                      <wp:wrapNone/>
                      <wp:docPr id="25" name="Frame24"/>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1660" cy="175260"/>
                      <wp:effectExtent l="0" t="0" r="0" b="0"/>
                      <wp:wrapNone/>
                      <wp:docPr id="27"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6365" cy="175260"/>
                      <wp:effectExtent l="0" t="0" r="0" b="0"/>
                      <wp:wrapNone/>
                      <wp:docPr id="29" name="Frame2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8620" cy="175260"/>
                      <wp:effectExtent l="0" t="0" r="0" b="0"/>
                      <wp:wrapNone/>
                      <wp:docPr id="30" name="Frame2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4620" cy="175260"/>
                      <wp:effectExtent l="0" t="0" r="0" b="0"/>
                      <wp:wrapNone/>
                      <wp:docPr id="32" name="Frame3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4055" cy="175260"/>
                      <wp:effectExtent l="0" t="0" r="0" b="0"/>
                      <wp:wrapNone/>
                      <wp:docPr id="33" name="Frame32"/>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15010" cy="175260"/>
                      <wp:effectExtent l="0" t="0" r="0" b="0"/>
                      <wp:wrapNone/>
                      <wp:docPr id="36" name="Frame3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38"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335" cy="175260"/>
                      <wp:effectExtent l="0" t="0" r="0" b="0"/>
                      <wp:wrapNone/>
                      <wp:docPr id="39" name="Frame3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95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2026</w:t>
            </w:r>
          </w:p>
        </w:tc>
      </w:tr>
      <w:tr>
        <w:trPr/>
        <w:tc>
          <w:tcPr>
            <w:tcW w:w="20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10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both"/>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46" w:type="dxa"/>
            <w:tcBorders/>
            <w:vAlign w:val="center"/>
          </w:tcPr>
          <w:p>
            <w:pPr>
              <w:pStyle w:val="TableContents"/>
              <w:bidi w:val="0"/>
              <w:spacing w:before="0" w:after="0"/>
              <w:ind w:left="0" w:right="0" w:hanging="0"/>
              <w:jc w:val="both"/>
              <w:rPr/>
            </w:pPr>
            <w:r>
              <w:rPr/>
              <w:t>​</w:t>
            </w:r>
          </w:p>
        </w:tc>
        <w:tc>
          <w:tcPr>
            <w:tcW w:w="13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both"/>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both"/>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46" w:type="dxa"/>
            <w:tcBorders/>
            <w:vAlign w:val="center"/>
          </w:tcPr>
          <w:p>
            <w:pPr>
              <w:pStyle w:val="TableContents"/>
              <w:bidi w:val="0"/>
              <w:spacing w:before="0" w:after="0"/>
              <w:ind w:left="0" w:right="0" w:hanging="0"/>
              <w:jc w:val="both"/>
              <w:rPr/>
            </w:pPr>
            <w:r>
              <w:rPr/>
              <w:t>  ​ ​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both"/>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5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April 1, 2026</w:t>
            </w:r>
          </w:p>
        </w:tc>
        <w:tc>
          <w:tcPr>
            <w:tcW w:w="346"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16,673,127</w:t>
            </w:r>
          </w:p>
        </w:tc>
        <w:tc>
          <w:tcPr>
            <w:tcW w:w="34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16,672</w:t>
            </w:r>
          </w:p>
        </w:tc>
        <w:tc>
          <w:tcPr>
            <w:tcW w:w="34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476,139,362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(462,360,076)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13,795,958</w:t>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Stock-based compensation </w:t>
            </w:r>
          </w:p>
        </w:tc>
        <w:tc>
          <w:tcPr>
            <w:tcW w:w="34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195,735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195,735</w:t>
            </w:r>
          </w:p>
        </w:tc>
      </w:tr>
      <w:tr>
        <w:trPr/>
        <w:tc>
          <w:tcPr>
            <w:tcW w:w="205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loss</w:t>
            </w:r>
          </w:p>
        </w:tc>
        <w:tc>
          <w:tcPr>
            <w:tcW w:w="346" w:type="dxa"/>
            <w:tcBorders/>
            <w:shd w:fill="CCEEFF" w:val="clear"/>
            <w:vAlign w:val="center"/>
          </w:tcPr>
          <w:p>
            <w:pPr>
              <w:pStyle w:val="TableContents"/>
              <w:bidi w:val="0"/>
              <w:spacing w:before="0" w:after="0"/>
              <w:ind w:left="0" w:right="0" w:hanging="0"/>
              <w:jc w:val="both"/>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(1,826,229)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(1,826,229)</w:t>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June 30, 2026</w:t>
            </w:r>
          </w:p>
        </w:tc>
        <w:tc>
          <w:tcPr>
            <w:tcW w:w="346" w:type="dxa"/>
            <w:tcBorders/>
            <w:vAlign w:val="center"/>
          </w:tcPr>
          <w:p>
            <w:pPr>
              <w:pStyle w:val="TableContents"/>
              <w:bidi w:val="0"/>
              <w:spacing w:before="0" w:after="0"/>
              <w:ind w:left="0" w:right="0" w:hanging="0"/>
              <w:jc w:val="both"/>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16,673,127</w:t>
            </w:r>
          </w:p>
        </w:tc>
        <w:tc>
          <w:tcPr>
            <w:tcW w:w="346" w:type="dxa"/>
            <w:tcBorders/>
            <w:vAlign w:val="center"/>
          </w:tcPr>
          <w:p>
            <w:pPr>
              <w:pStyle w:val="TableContents"/>
              <w:bidi w:val="0"/>
              <w:spacing w:before="0" w:after="0"/>
              <w:ind w:left="0" w:right="0" w:hanging="0"/>
              <w:jc w:val="both"/>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16,672</w:t>
            </w:r>
          </w:p>
        </w:tc>
        <w:tc>
          <w:tcPr>
            <w:tcW w:w="346" w:type="dxa"/>
            <w:tcBorders/>
            <w:vAlign w:val="center"/>
          </w:tcPr>
          <w:p>
            <w:pPr>
              <w:pStyle w:val="TableContents"/>
              <w:bidi w:val="0"/>
              <w:spacing w:before="0" w:after="0"/>
              <w:ind w:left="0" w:right="0" w:hanging="0"/>
              <w:jc w:val="both"/>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476,335,097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(464,186,305)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12,165,464</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67" w:name="Tc_20CQsPU2tkeGP-_iJ3lvDA_8_13"/>
      <w:bookmarkStart w:id="268" w:name="Tc_JM4_Slea6UqlZYWXt6_sgQ_8_10"/>
      <w:bookmarkStart w:id="269" w:name="Tc_vENScvO3e029TGkXLmbIbA_8_7"/>
      <w:bookmarkStart w:id="270" w:name="Tc_ol7gS1gYBEOB_4HpD_rWxA_8_4"/>
      <w:bookmarkStart w:id="271" w:name="Tc_4y46RorY8E6mkMVJiIACXg_8_0"/>
      <w:bookmarkStart w:id="272" w:name="Tc_athdOP2BC0a9Y1zbS8gXSw_7_8"/>
      <w:bookmarkStart w:id="273" w:name="Tc_4ZrYzIB61UqM3fToHcANlw_7_5"/>
      <w:bookmarkStart w:id="274" w:name="Tc_bX4j0IFRC0GJKhUdHDdKFA_7_2"/>
      <w:bookmarkStart w:id="275" w:name="Tc_YjzZPQiP80uhzLS6e0NWEQ_7_0"/>
      <w:bookmarkStart w:id="276" w:name="Tc_5TXjWtJs3kGc2xRm4pxxig_6_11"/>
      <w:bookmarkStart w:id="277" w:name="Tc_X10nZjuNgkOZQBkrFdDQ_A_6_5"/>
      <w:bookmarkStart w:id="278" w:name="Tc_4v6SEPmE-UKVhUMQ8t1iuw_6_2"/>
      <w:bookmarkStart w:id="279" w:name="Tc_ZRRMZwYQs0aOiQkHIXrHvg_6_0"/>
      <w:bookmarkStart w:id="280" w:name="Tc_ZzWrQS6MT0C7r6K9e3fFdw_5_13"/>
      <w:bookmarkStart w:id="281" w:name="Tc_OwQVoz2iaE6eEhliTkPrVg_5_10"/>
      <w:bookmarkStart w:id="282" w:name="Tc_OJgQI50xl0u5oRlFdUlOOA_5_7"/>
      <w:bookmarkStart w:id="283" w:name="Tc_5CkrZpVdRkyr5hOftvaYfQ_5_4"/>
      <w:bookmarkStart w:id="284" w:name="Tc_Q7FcWH4jqUun7gExl09FzA_5_0"/>
      <w:bookmarkStart w:id="285" w:name="Tc_mG5luXMuVEW0yTTHdV_Hag_4_13"/>
      <w:bookmarkStart w:id="286" w:name="Tc_Y8SDBJH7dkSWx6T0pKD2pg_4_10"/>
      <w:bookmarkStart w:id="287" w:name="Tc_2FUl6Dstv0eKZkFpo0GK1g_4_7"/>
      <w:bookmarkStart w:id="288" w:name="Tc_XCNW0svMW0OztEzd6_JMnQ_4_4"/>
      <w:bookmarkStart w:id="289" w:name="Tc_NE-R5eGc4EyxcnT7YICAbg_4_2"/>
      <w:bookmarkStart w:id="290" w:name="Tc_rYPincFJ2U6BdeohgkVY9g_3_13"/>
      <w:bookmarkStart w:id="291" w:name="Tc_IbVZmiPLF0aZPt7DShFTTA_3_10"/>
      <w:bookmarkStart w:id="292" w:name="Tc_7h2By4GdHUOfhjhlgTTGww_3_7"/>
      <w:bookmarkStart w:id="293" w:name="Tc_V_LlpxEMOkCWxVfvx_qPHw_3_2"/>
      <w:bookmarkStart w:id="294" w:name="Tc_AD1lDbb3nkimdZpSlPNSKQ_2_13"/>
      <w:bookmarkStart w:id="295" w:name="Tc_4bXnTI_11ESKTxU8JMOqyw_1_2"/>
      <w:bookmarkStart w:id="296" w:name="_d40939bc_ee39_4e7b_9597_fbebc131c471"/>
      <w:bookmarkStart w:id="297" w:name="Tc_20CQsPU2tkeGP-_iJ3lvDA_8_13"/>
      <w:bookmarkStart w:id="298" w:name="Tc_JM4_Slea6UqlZYWXt6_sgQ_8_10"/>
      <w:bookmarkStart w:id="299" w:name="Tc_vENScvO3e029TGkXLmbIbA_8_7"/>
      <w:bookmarkStart w:id="300" w:name="Tc_ol7gS1gYBEOB_4HpD_rWxA_8_4"/>
      <w:bookmarkStart w:id="301" w:name="Tc_4y46RorY8E6mkMVJiIACXg_8_0"/>
      <w:bookmarkStart w:id="302" w:name="Tc_athdOP2BC0a9Y1zbS8gXSw_7_8"/>
      <w:bookmarkStart w:id="303" w:name="Tc_4ZrYzIB61UqM3fToHcANlw_7_5"/>
      <w:bookmarkStart w:id="304" w:name="Tc_bX4j0IFRC0GJKhUdHDdKFA_7_2"/>
      <w:bookmarkStart w:id="305" w:name="Tc_YjzZPQiP80uhzLS6e0NWEQ_7_0"/>
      <w:bookmarkStart w:id="306" w:name="Tc_5TXjWtJs3kGc2xRm4pxxig_6_11"/>
      <w:bookmarkStart w:id="307" w:name="Tc_X10nZjuNgkOZQBkrFdDQ_A_6_5"/>
      <w:bookmarkStart w:id="308" w:name="Tc_4v6SEPmE-UKVhUMQ8t1iuw_6_2"/>
      <w:bookmarkStart w:id="309" w:name="Tc_ZRRMZwYQs0aOiQkHIXrHvg_6_0"/>
      <w:bookmarkStart w:id="310" w:name="Tc_ZzWrQS6MT0C7r6K9e3fFdw_5_13"/>
      <w:bookmarkStart w:id="311" w:name="Tc_OwQVoz2iaE6eEhliTkPrVg_5_10"/>
      <w:bookmarkStart w:id="312" w:name="Tc_OJgQI50xl0u5oRlFdUlOOA_5_7"/>
      <w:bookmarkStart w:id="313" w:name="Tc_5CkrZpVdRkyr5hOftvaYfQ_5_4"/>
      <w:bookmarkStart w:id="314" w:name="Tc_Q7FcWH4jqUun7gExl09FzA_5_0"/>
      <w:bookmarkStart w:id="315" w:name="Tc_mG5luXMuVEW0yTTHdV_Hag_4_13"/>
      <w:bookmarkStart w:id="316" w:name="Tc_Y8SDBJH7dkSWx6T0pKD2pg_4_10"/>
      <w:bookmarkStart w:id="317" w:name="Tc_2FUl6Dstv0eKZkFpo0GK1g_4_7"/>
      <w:bookmarkStart w:id="318" w:name="Tc_XCNW0svMW0OztEzd6_JMnQ_4_4"/>
      <w:bookmarkStart w:id="319" w:name="Tc_NE-R5eGc4EyxcnT7YICAbg_4_2"/>
      <w:bookmarkStart w:id="320" w:name="Tc_rYPincFJ2U6BdeohgkVY9g_3_13"/>
      <w:bookmarkStart w:id="321" w:name="Tc_IbVZmiPLF0aZPt7DShFTTA_3_10"/>
      <w:bookmarkStart w:id="322" w:name="Tc_7h2By4GdHUOfhjhlgTTGww_3_7"/>
      <w:bookmarkStart w:id="323" w:name="Tc_V_LlpxEMOkCWxVfvx_qPHw_3_2"/>
      <w:bookmarkStart w:id="324" w:name="Tc_AD1lDbb3nkimdZpSlPNSKQ_2_13"/>
      <w:bookmarkStart w:id="325" w:name="Tc_4bXnTI_11ESKTxU8JMOqyw_1_2"/>
      <w:bookmarkStart w:id="326" w:name="_d40939bc_ee39_4e7b_9597_fbebc131c471"/>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tbl>
      <w:tblPr>
        <w:tblW w:w="9492" w:type="dxa"/>
        <w:jc w:val="left"/>
        <w:tblInd w:w="0" w:type="dxa"/>
        <w:tblLayout w:type="fixed"/>
        <w:tblCellMar>
          <w:top w:w="0" w:type="dxa"/>
          <w:left w:w="0" w:type="dxa"/>
          <w:bottom w:w="0" w:type="dxa"/>
          <w:right w:w="0" w:type="dxa"/>
        </w:tblCellMar>
      </w:tblPr>
      <w:tblGrid>
        <w:gridCol w:w="2191"/>
        <w:gridCol w:w="346"/>
        <w:gridCol w:w="916"/>
        <w:gridCol w:w="346"/>
        <w:gridCol w:w="199"/>
        <w:gridCol w:w="612"/>
        <w:gridCol w:w="346"/>
        <w:gridCol w:w="212"/>
        <w:gridCol w:w="1093"/>
        <w:gridCol w:w="346"/>
        <w:gridCol w:w="196"/>
        <w:gridCol w:w="1126"/>
        <w:gridCol w:w="346"/>
        <w:gridCol w:w="196"/>
        <w:gridCol w:w="102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91285" cy="175260"/>
                      <wp:effectExtent l="0" t="0" r="0" b="0"/>
                      <wp:wrapNone/>
                      <wp:docPr id="40" name="Frame39"/>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81660" cy="175260"/>
                      <wp:effectExtent l="0" t="0" r="0" b="0"/>
                      <wp:wrapNone/>
                      <wp:docPr id="42" name="Frame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6365" cy="175260"/>
                      <wp:effectExtent l="0" t="0" r="0" b="0"/>
                      <wp:wrapNone/>
                      <wp:docPr id="44" name="Frame4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88620" cy="175260"/>
                      <wp:effectExtent l="0" t="0" r="0" b="0"/>
                      <wp:wrapNone/>
                      <wp:docPr id="45" name="Frame4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4620" cy="175260"/>
                      <wp:effectExtent l="0" t="0" r="0" b="0"/>
                      <wp:wrapNone/>
                      <wp:docPr id="47" name="Frame4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4055" cy="175260"/>
                      <wp:effectExtent l="0" t="0" r="0" b="0"/>
                      <wp:wrapNone/>
                      <wp:docPr id="48" name="Frame47"/>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15010" cy="175260"/>
                      <wp:effectExtent l="0" t="0" r="0" b="0"/>
                      <wp:wrapNone/>
                      <wp:docPr id="51" name="Frame5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335" cy="175260"/>
                      <wp:effectExtent l="0" t="0" r="0" b="0"/>
                      <wp:wrapNone/>
                      <wp:docPr id="54" name="Frame5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95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r>
      <w:tr>
        <w:trPr/>
        <w:tc>
          <w:tcPr>
            <w:tcW w:w="21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212" w:type="dxa"/>
            <w:tcBorders/>
            <w:vAlign w:val="center"/>
          </w:tcPr>
          <w:p>
            <w:pPr>
              <w:pStyle w:val="TableContents"/>
              <w:bidi w:val="0"/>
              <w:spacing w:before="0" w:after="0"/>
              <w:ind w:left="0" w:right="0" w:hanging="0"/>
              <w:jc w:val="both"/>
              <w:rPr/>
            </w:pPr>
            <w:r>
              <w:rPr/>
              <w:t>​</w:t>
            </w:r>
          </w:p>
        </w:tc>
        <w:tc>
          <w:tcPr>
            <w:tcW w:w="10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196"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both"/>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46" w:type="dxa"/>
            <w:tcBorders/>
            <w:vAlign w:val="center"/>
          </w:tcPr>
          <w:p>
            <w:pPr>
              <w:pStyle w:val="TableContents"/>
              <w:bidi w:val="0"/>
              <w:spacing w:before="0" w:after="0"/>
              <w:ind w:left="0" w:right="0" w:hanging="0"/>
              <w:jc w:val="both"/>
              <w:rPr/>
            </w:pPr>
            <w:r>
              <w:rPr/>
              <w:t>​</w:t>
            </w:r>
          </w:p>
        </w:tc>
        <w:tc>
          <w:tcPr>
            <w:tcW w:w="13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both"/>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both"/>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46" w:type="dxa"/>
            <w:tcBorders/>
            <w:vAlign w:val="center"/>
          </w:tcPr>
          <w:p>
            <w:pPr>
              <w:pStyle w:val="TableContents"/>
              <w:bidi w:val="0"/>
              <w:spacing w:before="0" w:after="0"/>
              <w:ind w:left="0" w:right="0" w:hanging="0"/>
              <w:jc w:val="both"/>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both"/>
              <w:rPr/>
            </w:pPr>
            <w:r>
              <w:rPr/>
              <w:t>​</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9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January 1, 2026</w:t>
            </w:r>
          </w:p>
        </w:tc>
        <w:tc>
          <w:tcPr>
            <w:tcW w:w="346" w:type="dxa"/>
            <w:tcBorders/>
            <w:shd w:fill="CCEEFF" w:val="clear"/>
            <w:vAlign w:val="center"/>
          </w:tcPr>
          <w:p>
            <w:pPr>
              <w:pStyle w:val="TableContents"/>
              <w:bidi w:val="0"/>
              <w:spacing w:before="0" w:after="0"/>
              <w:ind w:left="0" w:right="0" w:hanging="0"/>
              <w:jc w:val="both"/>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16,673,127</w:t>
            </w:r>
          </w:p>
        </w:tc>
        <w:tc>
          <w:tcPr>
            <w:tcW w:w="34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16,672</w:t>
            </w:r>
          </w:p>
        </w:tc>
        <w:tc>
          <w:tcPr>
            <w:tcW w:w="346" w:type="dxa"/>
            <w:tcBorders/>
            <w:shd w:fill="CCEEFF" w:val="clear"/>
            <w:vAlign w:val="center"/>
          </w:tcPr>
          <w:p>
            <w:pPr>
              <w:pStyle w:val="TableContents"/>
              <w:bidi w:val="0"/>
              <w:spacing w:before="0" w:after="0"/>
              <w:ind w:left="0" w:right="0" w:hanging="0"/>
              <w:jc w:val="both"/>
              <w:rPr/>
            </w:pPr>
            <w:r>
              <w:rPr/>
              <w:t>​</w:t>
            </w:r>
          </w:p>
        </w:tc>
        <w:tc>
          <w:tcPr>
            <w:tcW w:w="212"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475,960,940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(459,180,798)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16,796,814</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both"/>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2" w:type="dxa"/>
            <w:tcBorders/>
            <w:vAlign w:val="center"/>
          </w:tcPr>
          <w:p>
            <w:pPr>
              <w:pStyle w:val="TableContents"/>
              <w:bidi w:val="0"/>
              <w:spacing w:before="0" w:after="0"/>
              <w:ind w:left="0" w:right="0" w:hanging="0"/>
              <w:jc w:val="both"/>
              <w:rPr/>
            </w:pPr>
            <w:r>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374,157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374,157</w:t>
            </w:r>
          </w:p>
        </w:tc>
      </w:tr>
      <w:tr>
        <w:trPr/>
        <w:tc>
          <w:tcPr>
            <w:tcW w:w="219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loss</w:t>
            </w:r>
          </w:p>
        </w:tc>
        <w:tc>
          <w:tcPr>
            <w:tcW w:w="346" w:type="dxa"/>
            <w:tcBorders/>
            <w:shd w:fill="CCEEFF" w:val="clear"/>
            <w:vAlign w:val="center"/>
          </w:tcPr>
          <w:p>
            <w:pPr>
              <w:pStyle w:val="TableContents"/>
              <w:bidi w:val="0"/>
              <w:spacing w:before="0" w:after="0"/>
              <w:ind w:left="0" w:right="0" w:hanging="0"/>
              <w:jc w:val="both"/>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(5,005,507)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(5,005,507)</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June 30, 2026</w:t>
            </w:r>
          </w:p>
        </w:tc>
        <w:tc>
          <w:tcPr>
            <w:tcW w:w="346" w:type="dxa"/>
            <w:tcBorders/>
            <w:vAlign w:val="center"/>
          </w:tcPr>
          <w:p>
            <w:pPr>
              <w:pStyle w:val="TableContents"/>
              <w:bidi w:val="0"/>
              <w:spacing w:before="0" w:after="0"/>
              <w:ind w:left="0" w:right="0" w:hanging="0"/>
              <w:jc w:val="both"/>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16,673,127</w:t>
            </w:r>
          </w:p>
        </w:tc>
        <w:tc>
          <w:tcPr>
            <w:tcW w:w="346" w:type="dxa"/>
            <w:tcBorders/>
            <w:vAlign w:val="center"/>
          </w:tcPr>
          <w:p>
            <w:pPr>
              <w:pStyle w:val="TableContents"/>
              <w:bidi w:val="0"/>
              <w:spacing w:before="0" w:after="0"/>
              <w:ind w:left="0" w:right="0" w:hanging="0"/>
              <w:jc w:val="both"/>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16,672</w:t>
            </w:r>
          </w:p>
        </w:tc>
        <w:tc>
          <w:tcPr>
            <w:tcW w:w="346" w:type="dxa"/>
            <w:tcBorders/>
            <w:vAlign w:val="center"/>
          </w:tcPr>
          <w:p>
            <w:pPr>
              <w:pStyle w:val="TableContents"/>
              <w:bidi w:val="0"/>
              <w:spacing w:before="0" w:after="0"/>
              <w:ind w:left="0" w:right="0" w:hanging="0"/>
              <w:jc w:val="both"/>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476,335,097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(464,186,305)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12,165,464</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27" w:name="Tc_1u9Tu3EIXkGhQGkrq6B7tA_9_13"/>
      <w:bookmarkStart w:id="328" w:name="Tc_u-MXu7zz0kmgwkmQvRpWfg_9_10"/>
      <w:bookmarkStart w:id="329" w:name="Tc_dxn-NoXNyUitxxxLgYsYrg_9_7"/>
      <w:bookmarkStart w:id="330" w:name="Tc_WL_SpfueTEqA1oVIpW_J6Q_9_4"/>
      <w:bookmarkStart w:id="331" w:name="Tc_IdkukHqXx0ibxDf0QjyRkA_9_0"/>
      <w:bookmarkStart w:id="332" w:name="Tc_wX1lPbc71EK7gEArt99YnA_8_8"/>
      <w:bookmarkStart w:id="333" w:name="Tc_47iFNJ3ijUGNH92quRBtLw_8_5"/>
      <w:bookmarkStart w:id="334" w:name="Tc_Vu8YJkDflEa9GVFKBMge-w_8_2"/>
      <w:bookmarkStart w:id="335" w:name="Tc_rZOM9o4ew0ir9cwImM3UrQ_8_0"/>
      <w:bookmarkStart w:id="336" w:name="Tc_9FlOuecaSkeM8vmpNSpoUQ_7_11"/>
      <w:bookmarkStart w:id="337" w:name="Tc_upiwMTBqEEW192QUDBIRXw_7_5"/>
      <w:bookmarkStart w:id="338" w:name="Tc_6tipZOVSoEq7txpC8Kog_Q_7_2"/>
      <w:bookmarkStart w:id="339" w:name="Tc_pYt3dUXGHEmObYqD-NNvAA_7_0"/>
      <w:bookmarkStart w:id="340" w:name="Tc_vp4VJfFtDUm2CCTydWfyqQ_6_11"/>
      <w:bookmarkStart w:id="341" w:name="Tc_KLYgSyo0O0Cdzbm2UBaEgA_6_8"/>
      <w:bookmarkStart w:id="342" w:name="Tc_ZeEa0nO0UUOXrThpVeKIiA_6_0"/>
      <w:bookmarkStart w:id="343" w:name="Tc__mOWlAjbH0qCjlnW6bjPZA_5_13"/>
      <w:bookmarkStart w:id="344" w:name="Tc_F2c3asHH0kSurLBjh24E1Q_5_10"/>
      <w:bookmarkStart w:id="345" w:name="Tc_SxOP9wJfj0WRQlLGUxNiEA_5_7"/>
      <w:bookmarkStart w:id="346" w:name="Tc_bJWC6I8S8UK-BhAydbsWPw_5_4"/>
      <w:bookmarkStart w:id="347" w:name="Tc_xH9ozu-v80uF_UVuJLbzeg_5_0"/>
      <w:bookmarkStart w:id="348" w:name="Tc_IpYLhu1OEEGJmundkn2h-g_4_13"/>
      <w:bookmarkStart w:id="349" w:name="Tc_vxbjzPJPpEaKMaDhOERGuA_4_10"/>
      <w:bookmarkStart w:id="350" w:name="Tc_e-N00Oqg0kaBHGjtiLpJtg_4_7"/>
      <w:bookmarkStart w:id="351" w:name="Tc_tfZMTp-p5Ua_yy_93_kKoQ_4_4"/>
      <w:bookmarkStart w:id="352" w:name="Tc_FgbfpiFpp0SMzUxqC1FR7w_4_2"/>
      <w:bookmarkStart w:id="353" w:name="Tc_aKhilOwXV06EX5vOavPmRA_3_13"/>
      <w:bookmarkStart w:id="354" w:name="Tc_26Xr4QvipUinVcLErV4p7A_3_10"/>
      <w:bookmarkStart w:id="355" w:name="Tc_l_wpcm06wU--RDuTq2z9zw_3_7"/>
      <w:bookmarkStart w:id="356" w:name="Tc_tBLxS3TiakyhDfUVM84VPw_3_2"/>
      <w:bookmarkStart w:id="357" w:name="Tc_guiKImDPM0SgyS6_Wn6hgQ_2_13"/>
      <w:bookmarkStart w:id="358" w:name="Tc_zQyyGywmS0G8hWkRHDVtMg_1_2"/>
      <w:bookmarkStart w:id="359" w:name="_c1450533_3c51_4976_8011_fcca10739c29"/>
      <w:bookmarkStart w:id="360" w:name="Tc_1u9Tu3EIXkGhQGkrq6B7tA_9_13"/>
      <w:bookmarkStart w:id="361" w:name="Tc_u-MXu7zz0kmgwkmQvRpWfg_9_10"/>
      <w:bookmarkStart w:id="362" w:name="Tc_dxn-NoXNyUitxxxLgYsYrg_9_7"/>
      <w:bookmarkStart w:id="363" w:name="Tc_WL_SpfueTEqA1oVIpW_J6Q_9_4"/>
      <w:bookmarkStart w:id="364" w:name="Tc_IdkukHqXx0ibxDf0QjyRkA_9_0"/>
      <w:bookmarkStart w:id="365" w:name="Tc_wX1lPbc71EK7gEArt99YnA_8_8"/>
      <w:bookmarkStart w:id="366" w:name="Tc_47iFNJ3ijUGNH92quRBtLw_8_5"/>
      <w:bookmarkStart w:id="367" w:name="Tc_Vu8YJkDflEa9GVFKBMge-w_8_2"/>
      <w:bookmarkStart w:id="368" w:name="Tc_rZOM9o4ew0ir9cwImM3UrQ_8_0"/>
      <w:bookmarkStart w:id="369" w:name="Tc_9FlOuecaSkeM8vmpNSpoUQ_7_11"/>
      <w:bookmarkStart w:id="370" w:name="Tc_upiwMTBqEEW192QUDBIRXw_7_5"/>
      <w:bookmarkStart w:id="371" w:name="Tc_6tipZOVSoEq7txpC8Kog_Q_7_2"/>
      <w:bookmarkStart w:id="372" w:name="Tc_pYt3dUXGHEmObYqD-NNvAA_7_0"/>
      <w:bookmarkStart w:id="373" w:name="Tc_vp4VJfFtDUm2CCTydWfyqQ_6_11"/>
      <w:bookmarkStart w:id="374" w:name="Tc_KLYgSyo0O0Cdzbm2UBaEgA_6_8"/>
      <w:bookmarkStart w:id="375" w:name="Tc_ZeEa0nO0UUOXrThpVeKIiA_6_0"/>
      <w:bookmarkStart w:id="376" w:name="Tc__mOWlAjbH0qCjlnW6bjPZA_5_13"/>
      <w:bookmarkStart w:id="377" w:name="Tc_F2c3asHH0kSurLBjh24E1Q_5_10"/>
      <w:bookmarkStart w:id="378" w:name="Tc_SxOP9wJfj0WRQlLGUxNiEA_5_7"/>
      <w:bookmarkStart w:id="379" w:name="Tc_bJWC6I8S8UK-BhAydbsWPw_5_4"/>
      <w:bookmarkStart w:id="380" w:name="Tc_xH9ozu-v80uF_UVuJLbzeg_5_0"/>
      <w:bookmarkStart w:id="381" w:name="Tc_IpYLhu1OEEGJmundkn2h-g_4_13"/>
      <w:bookmarkStart w:id="382" w:name="Tc_vxbjzPJPpEaKMaDhOERGuA_4_10"/>
      <w:bookmarkStart w:id="383" w:name="Tc_e-N00Oqg0kaBHGjtiLpJtg_4_7"/>
      <w:bookmarkStart w:id="384" w:name="Tc_tfZMTp-p5Ua_yy_93_kKoQ_4_4"/>
      <w:bookmarkStart w:id="385" w:name="Tc_FgbfpiFpp0SMzUxqC1FR7w_4_2"/>
      <w:bookmarkStart w:id="386" w:name="Tc_aKhilOwXV06EX5vOavPmRA_3_13"/>
      <w:bookmarkStart w:id="387" w:name="Tc_26Xr4QvipUinVcLErV4p7A_3_10"/>
      <w:bookmarkStart w:id="388" w:name="Tc_l_wpcm06wU--RDuTq2z9zw_3_7"/>
      <w:bookmarkStart w:id="389" w:name="Tc_tBLxS3TiakyhDfUVM84VPw_3_2"/>
      <w:bookmarkStart w:id="390" w:name="Tc_guiKImDPM0SgyS6_Wn6hgQ_2_13"/>
      <w:bookmarkStart w:id="391" w:name="Tc_zQyyGywmS0G8hWkRHDVtMg_1_2"/>
      <w:bookmarkStart w:id="392" w:name="_c1450533_3c51_4976_8011_fcca10739c2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tbl>
      <w:tblPr>
        <w:tblW w:w="10205" w:type="dxa"/>
        <w:jc w:val="left"/>
        <w:tblInd w:w="0" w:type="dxa"/>
        <w:tblLayout w:type="fixed"/>
        <w:tblCellMar>
          <w:top w:w="0" w:type="dxa"/>
          <w:left w:w="0" w:type="dxa"/>
          <w:bottom w:w="0" w:type="dxa"/>
          <w:right w:w="0" w:type="dxa"/>
        </w:tblCellMar>
      </w:tblPr>
      <w:tblGrid>
        <w:gridCol w:w="2962"/>
        <w:gridCol w:w="346"/>
        <w:gridCol w:w="916"/>
        <w:gridCol w:w="346"/>
        <w:gridCol w:w="199"/>
        <w:gridCol w:w="612"/>
        <w:gridCol w:w="346"/>
        <w:gridCol w:w="207"/>
        <w:gridCol w:w="1068"/>
        <w:gridCol w:w="346"/>
        <w:gridCol w:w="196"/>
        <w:gridCol w:w="1096"/>
        <w:gridCol w:w="346"/>
        <w:gridCol w:w="196"/>
        <w:gridCol w:w="1023"/>
      </w:tblGrid>
      <w:tr>
        <w:trPr/>
        <w:tc>
          <w:tcPr>
            <w:tcW w:w="2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80870" cy="175260"/>
                      <wp:effectExtent l="0" t="0" r="0" b="0"/>
                      <wp:wrapNone/>
                      <wp:docPr id="55" name="Frame54"/>
                      <a:graphic xmlns:a="http://schemas.openxmlformats.org/drawingml/2006/main">
                        <a:graphicData uri="http://schemas.microsoft.com/office/word/2010/wordprocessingShape">
                          <wps:wsp>
                            <wps:cNvSpPr txBox="1"/>
                            <wps:spPr>
                              <a:xfrm>
                                <a:off x="0" y="0"/>
                                <a:ext cx="18808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81660" cy="175260"/>
                      <wp:effectExtent l="0" t="0" r="0" b="0"/>
                      <wp:wrapNone/>
                      <wp:docPr id="57" name="Frame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6365" cy="175260"/>
                      <wp:effectExtent l="0" t="0" r="0" b="0"/>
                      <wp:wrapNone/>
                      <wp:docPr id="59" name="Frame5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88620" cy="175260"/>
                      <wp:effectExtent l="0" t="0" r="0" b="0"/>
                      <wp:wrapNone/>
                      <wp:docPr id="60" name="Frame5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1445" cy="175260"/>
                      <wp:effectExtent l="0" t="0" r="0" b="0"/>
                      <wp:wrapNone/>
                      <wp:docPr id="62" name="Frame61"/>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78180" cy="175260"/>
                      <wp:effectExtent l="0" t="0" r="0" b="0"/>
                      <wp:wrapNone/>
                      <wp:docPr id="63" name="Frame62"/>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5"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5960" cy="175260"/>
                      <wp:effectExtent l="0" t="0" r="0" b="0"/>
                      <wp:wrapNone/>
                      <wp:docPr id="66" name="Frame6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6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9605" cy="175260"/>
                      <wp:effectExtent l="0" t="0" r="0" b="0"/>
                      <wp:wrapNone/>
                      <wp:docPr id="69" name="Frame68"/>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6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6897"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2025</w:t>
            </w:r>
          </w:p>
        </w:tc>
      </w:tr>
      <w:tr>
        <w:trPr/>
        <w:tc>
          <w:tcPr>
            <w:tcW w:w="296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91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99" w:type="dxa"/>
            <w:tcBorders/>
            <w:vAlign w:val="center"/>
          </w:tcPr>
          <w:p>
            <w:pPr>
              <w:pStyle w:val="TableContents"/>
              <w:bidi w:val="0"/>
              <w:spacing w:before="0" w:after="1"/>
              <w:ind w:left="0" w:right="0" w:hanging="0"/>
              <w:jc w:val="both"/>
              <w:rPr/>
            </w:pPr>
            <w:r>
              <w:rPr/>
              <w:t>​</w:t>
            </w:r>
          </w:p>
        </w:tc>
        <w:tc>
          <w:tcPr>
            <w:tcW w:w="61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07" w:type="dxa"/>
            <w:tcBorders/>
            <w:vAlign w:val="center"/>
          </w:tcPr>
          <w:p>
            <w:pPr>
              <w:pStyle w:val="TableContents"/>
              <w:bidi w:val="0"/>
              <w:spacing w:before="0" w:after="1"/>
              <w:ind w:left="0" w:right="0" w:hanging="0"/>
              <w:jc w:val="both"/>
              <w:rPr/>
            </w:pPr>
            <w:r>
              <w:rPr/>
              <w:t>​</w:t>
            </w:r>
          </w:p>
        </w:tc>
        <w:tc>
          <w:tcPr>
            <w:tcW w:w="1068"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21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6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both"/>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46" w:type="dxa"/>
            <w:tcBorders/>
            <w:vAlign w:val="center"/>
          </w:tcPr>
          <w:p>
            <w:pPr>
              <w:pStyle w:val="TableContents"/>
              <w:bidi w:val="0"/>
              <w:spacing w:before="0" w:after="1"/>
              <w:ind w:left="0" w:right="0" w:hanging="0"/>
              <w:jc w:val="both"/>
              <w:rPr/>
            </w:pPr>
            <w:r>
              <w:rPr/>
              <w:t>​</w:t>
            </w:r>
          </w:p>
        </w:tc>
        <w:tc>
          <w:tcPr>
            <w:tcW w:w="12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both"/>
              <w:rPr/>
            </w:pPr>
            <w:r>
              <w:rPr/>
              <w:t>​</w:t>
            </w:r>
          </w:p>
        </w:tc>
        <w:tc>
          <w:tcPr>
            <w:tcW w:w="121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96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both"/>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1"/>
              <w:ind w:left="0" w:right="0" w:hanging="0"/>
              <w:jc w:val="both"/>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46" w:type="dxa"/>
            <w:tcBorders/>
            <w:vAlign w:val="center"/>
          </w:tcPr>
          <w:p>
            <w:pPr>
              <w:pStyle w:val="TableContents"/>
              <w:bidi w:val="0"/>
              <w:spacing w:before="0" w:after="1"/>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both"/>
              <w:rPr/>
            </w:pPr>
            <w:r>
              <w:rPr/>
              <w:t>  ​ ​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6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April 1, 2025</w:t>
            </w:r>
          </w:p>
        </w:tc>
        <w:tc>
          <w:tcPr>
            <w:tcW w:w="346" w:type="dxa"/>
            <w:tcBorders/>
            <w:shd w:fill="CCEEFF" w:val="clear"/>
            <w:vAlign w:val="center"/>
          </w:tcPr>
          <w:p>
            <w:pPr>
              <w:pStyle w:val="TableContents"/>
              <w:bidi w:val="0"/>
              <w:spacing w:before="0" w:after="1"/>
              <w:ind w:left="0" w:right="0" w:hanging="0"/>
              <w:jc w:val="both"/>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11,214,835</w:t>
            </w:r>
          </w:p>
        </w:tc>
        <w:tc>
          <w:tcPr>
            <w:tcW w:w="346" w:type="dxa"/>
            <w:tcBorders/>
            <w:shd w:fill="CCEEFF" w:val="clear"/>
            <w:vAlign w:val="center"/>
          </w:tcPr>
          <w:p>
            <w:pPr>
              <w:pStyle w:val="TableContents"/>
              <w:bidi w:val="0"/>
              <w:spacing w:before="0" w:after="1"/>
              <w:ind w:left="0" w:right="0" w:hanging="0"/>
              <w:jc w:val="both"/>
              <w:rPr/>
            </w:pPr>
            <w:r>
              <w:rPr/>
              <w:t>​</w:t>
            </w:r>
          </w:p>
        </w:tc>
        <w:tc>
          <w:tcPr>
            <w:tcW w:w="199"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11,213</w:t>
            </w:r>
          </w:p>
        </w:tc>
        <w:tc>
          <w:tcPr>
            <w:tcW w:w="346" w:type="dxa"/>
            <w:tcBorders/>
            <w:shd w:fill="CCEEFF" w:val="clear"/>
            <w:vAlign w:val="center"/>
          </w:tcPr>
          <w:p>
            <w:pPr>
              <w:pStyle w:val="TableContents"/>
              <w:bidi w:val="0"/>
              <w:spacing w:before="0" w:after="1"/>
              <w:ind w:left="0" w:right="0" w:hanging="0"/>
              <w:jc w:val="both"/>
              <w:rPr/>
            </w:pPr>
            <w:r>
              <w:rPr/>
              <w:t>​</w:t>
            </w:r>
          </w:p>
        </w:tc>
        <w:tc>
          <w:tcPr>
            <w:tcW w:w="207"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465,944,020</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(451,463,362)</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14,491,871</w:t>
            </w:r>
          </w:p>
        </w:tc>
      </w:tr>
      <w:tr>
        <w:trPr/>
        <w:tc>
          <w:tcPr>
            <w:tcW w:w="2962"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Issuance of common stock from exercise of prefunded warrants </w:t>
            </w:r>
          </w:p>
        </w:tc>
        <w:tc>
          <w:tcPr>
            <w:tcW w:w="346" w:type="dxa"/>
            <w:tcBorders/>
            <w:vAlign w:val="center"/>
          </w:tcPr>
          <w:p>
            <w:pPr>
              <w:pStyle w:val="TableContents"/>
              <w:bidi w:val="0"/>
              <w:spacing w:before="0" w:after="1"/>
              <w:ind w:left="0" w:right="0" w:hanging="0"/>
              <w:jc w:val="both"/>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100,000</w:t>
            </w:r>
          </w:p>
        </w:tc>
        <w:tc>
          <w:tcPr>
            <w:tcW w:w="346" w:type="dxa"/>
            <w:tcBorders/>
            <w:vAlign w:val="center"/>
          </w:tcPr>
          <w:p>
            <w:pPr>
              <w:pStyle w:val="TableContents"/>
              <w:bidi w:val="0"/>
              <w:spacing w:before="0" w:after="1"/>
              <w:ind w:left="0" w:right="0" w:hanging="0"/>
              <w:jc w:val="both"/>
              <w:rPr/>
            </w:pPr>
            <w:r>
              <w:rPr/>
              <w:t>​</w:t>
            </w:r>
          </w:p>
        </w:tc>
        <w:tc>
          <w:tcPr>
            <w:tcW w:w="199" w:type="dxa"/>
            <w:tcBorders/>
            <w:vAlign w:val="center"/>
          </w:tcPr>
          <w:p>
            <w:pPr>
              <w:pStyle w:val="TableContents"/>
              <w:bidi w:val="0"/>
              <w:spacing w:before="0" w:after="1"/>
              <w:ind w:left="0" w:right="0" w:hanging="0"/>
              <w:jc w:val="both"/>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vAlign w:val="center"/>
          </w:tcPr>
          <w:p>
            <w:pPr>
              <w:pStyle w:val="TableContents"/>
              <w:bidi w:val="0"/>
              <w:spacing w:before="0" w:after="1"/>
              <w:ind w:left="0" w:right="0" w:hanging="0"/>
              <w:jc w:val="both"/>
              <w:rPr/>
            </w:pPr>
            <w:r>
              <w:rPr/>
              <w:t>​</w:t>
            </w:r>
          </w:p>
        </w:tc>
        <w:tc>
          <w:tcPr>
            <w:tcW w:w="207" w:type="dxa"/>
            <w:tcBorders/>
            <w:vAlign w:val="center"/>
          </w:tcPr>
          <w:p>
            <w:pPr>
              <w:pStyle w:val="TableContents"/>
              <w:bidi w:val="0"/>
              <w:spacing w:before="0" w:after="1"/>
              <w:ind w:left="0" w:right="0" w:hanging="0"/>
              <w:jc w:val="both"/>
              <w:rPr/>
            </w:pPr>
            <w:r>
              <w:rPr/>
              <w:t>​</w:t>
            </w:r>
          </w:p>
        </w:tc>
        <w:tc>
          <w:tcPr>
            <w:tcW w:w="10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0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29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both"/>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99" w:type="dxa"/>
            <w:tcBorders/>
            <w:shd w:fill="CCEEFF" w:val="clear"/>
            <w:vAlign w:val="center"/>
          </w:tcPr>
          <w:p>
            <w:pPr>
              <w:pStyle w:val="TableContents"/>
              <w:bidi w:val="0"/>
              <w:spacing w:before="0" w:after="1"/>
              <w:ind w:left="0" w:right="0" w:hanging="0"/>
              <w:jc w:val="both"/>
              <w:rPr/>
            </w:pPr>
            <w:r>
              <w:rPr/>
              <w:t>​</w:t>
            </w:r>
          </w:p>
        </w:tc>
        <w:tc>
          <w:tcPr>
            <w:tcW w:w="6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07" w:type="dxa"/>
            <w:tcBorders/>
            <w:shd w:fill="CCEEFF" w:val="clear"/>
            <w:vAlign w:val="center"/>
          </w:tcPr>
          <w:p>
            <w:pPr>
              <w:pStyle w:val="TableContents"/>
              <w:bidi w:val="0"/>
              <w:spacing w:before="0" w:after="1"/>
              <w:ind w:left="0" w:right="0" w:hanging="0"/>
              <w:jc w:val="both"/>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13,986</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10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13,986</w:t>
            </w:r>
          </w:p>
        </w:tc>
      </w:tr>
      <w:tr>
        <w:trPr/>
        <w:tc>
          <w:tcPr>
            <w:tcW w:w="2962"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6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(4,015,564)</w:t>
            </w:r>
          </w:p>
        </w:tc>
        <w:tc>
          <w:tcPr>
            <w:tcW w:w="346" w:type="dxa"/>
            <w:tcBorders/>
            <w:vAlign w:val="center"/>
          </w:tcPr>
          <w:p>
            <w:pPr>
              <w:pStyle w:val="TableContents"/>
              <w:bidi w:val="0"/>
              <w:spacing w:before="0" w:after="1"/>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(4,015,564)</w:t>
            </w:r>
          </w:p>
        </w:tc>
      </w:tr>
      <w:tr>
        <w:trPr/>
        <w:tc>
          <w:tcPr>
            <w:tcW w:w="296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June 30, 2025</w:t>
            </w:r>
          </w:p>
        </w:tc>
        <w:tc>
          <w:tcPr>
            <w:tcW w:w="346" w:type="dxa"/>
            <w:tcBorders/>
            <w:shd w:fill="CCEEFF" w:val="clear"/>
            <w:vAlign w:val="center"/>
          </w:tcPr>
          <w:p>
            <w:pPr>
              <w:pStyle w:val="TableContents"/>
              <w:bidi w:val="0"/>
              <w:spacing w:before="0" w:after="1"/>
              <w:ind w:left="0" w:right="0" w:hanging="0"/>
              <w:jc w:val="both"/>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11,314,835</w:t>
            </w:r>
          </w:p>
        </w:tc>
        <w:tc>
          <w:tcPr>
            <w:tcW w:w="346" w:type="dxa"/>
            <w:tcBorders/>
            <w:shd w:fill="CCEEFF" w:val="clear"/>
            <w:vAlign w:val="center"/>
          </w:tcPr>
          <w:p>
            <w:pPr>
              <w:pStyle w:val="TableContents"/>
              <w:bidi w:val="0"/>
              <w:spacing w:before="0" w:after="1"/>
              <w:ind w:left="0" w:right="0" w:hanging="0"/>
              <w:jc w:val="both"/>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11,313</w:t>
            </w:r>
          </w:p>
        </w:tc>
        <w:tc>
          <w:tcPr>
            <w:tcW w:w="346" w:type="dxa"/>
            <w:tcBorders/>
            <w:shd w:fill="CCEEFF" w:val="clear"/>
            <w:vAlign w:val="center"/>
          </w:tcPr>
          <w:p>
            <w:pPr>
              <w:pStyle w:val="TableContents"/>
              <w:bidi w:val="0"/>
              <w:spacing w:before="0" w:after="1"/>
              <w:ind w:left="0" w:right="0" w:hanging="0"/>
              <w:jc w:val="both"/>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465,958,006</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(455,478,926)</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10,490,393</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93" w:name="Tc_UaF69naySUe0vzgHdd6Pvg_9_13"/>
      <w:bookmarkStart w:id="394" w:name="Tc_ZVC0qR5vTUGCTJG5iWRnPw_9_10"/>
      <w:bookmarkStart w:id="395" w:name="Tc_1y23hIriZkWp-oGS0ZCOtA_9_7"/>
      <w:bookmarkStart w:id="396" w:name="Tc_DBlC6UHMMka05Nxs0foeCg_9_4"/>
      <w:bookmarkStart w:id="397" w:name="Tc_u-D9wrEmnUee9e8WzorDZg_9_0"/>
      <w:bookmarkStart w:id="398" w:name="Tc_gEhxM2Jo5UOPxFss3B_btA_8_8"/>
      <w:bookmarkStart w:id="399" w:name="Tc_2zCmHG0GdEuaAJEzvSi1rw_8_5"/>
      <w:bookmarkStart w:id="400" w:name="Tc_HrwAzWJVm0q2MfQefQOPJQ_8_2"/>
      <w:bookmarkStart w:id="401" w:name="Tc_Uv7Ht0U7w0GxfzkQWfxgcw_8_0"/>
      <w:bookmarkStart w:id="402" w:name="Tc_pEcLdMF8L0uyrmJJ0WTkoQ_7_11"/>
      <w:bookmarkStart w:id="403" w:name="Tc_gDYrDCfkiEuFrz2P67P_ow_7_5"/>
      <w:bookmarkStart w:id="404" w:name="Tc_KhwZJHMXs0W7DJl9xSj70g_7_2"/>
      <w:bookmarkStart w:id="405" w:name="Tc_LZmei1UGmkyY6a7htO-6WQ_7_0"/>
      <w:bookmarkStart w:id="406" w:name="Tc_O99OBBR3ckOj_19xlYbfGg_6_11"/>
      <w:bookmarkStart w:id="407" w:name="Tc_TS2fd5XmBESPzK5UHAXQ3Q_6_8"/>
      <w:bookmarkStart w:id="408" w:name="Tc_AunBwTNzu0KSMncIy9ICcA_6_0"/>
      <w:bookmarkStart w:id="409" w:name="Tc_Ua27lg1Z1UaAe4_dViZpTQ_5_13"/>
      <w:bookmarkStart w:id="410" w:name="Tc_9jSqnhrlJkquZreBsB_I4Q_5_10"/>
      <w:bookmarkStart w:id="411" w:name="Tc_eB3TFUES90SbeiWj36rEhg_5_7"/>
      <w:bookmarkStart w:id="412" w:name="Tc_t2og67RnJUCZWukobNGPCg_5_4"/>
      <w:bookmarkStart w:id="413" w:name="Tc_5XmjX5oNWE6WezfQIjXn2Q_5_0"/>
      <w:bookmarkStart w:id="414" w:name="Tc_ERXISKq2HkOYpUcuxraj_A_4_13"/>
      <w:bookmarkStart w:id="415" w:name="Tc_LeoZ0Kzz0kO2TKzcnSnD2w_4_10"/>
      <w:bookmarkStart w:id="416" w:name="Tc_7q5971ZZfE24EsKWSC9YdA_4_7"/>
      <w:bookmarkStart w:id="417" w:name="Tc_lYHllhES9E-X7DHCCzqvaw_4_4"/>
      <w:bookmarkStart w:id="418" w:name="Tc_4wDRVcbpjk66TloUA3rYPw_4_2"/>
      <w:bookmarkStart w:id="419" w:name="Tc_Tvp5rjbKFUCeHsoLbE-eSg_3_13"/>
      <w:bookmarkStart w:id="420" w:name="Tc_UQf4ucGYhUWApLpQHxk8aw_3_10"/>
      <w:bookmarkStart w:id="421" w:name="Tc_YzbEgSwohkS3nU4dYgTtwg_3_7"/>
      <w:bookmarkStart w:id="422" w:name="Tc_Y31VK0uqskGxqBi1hjVACA_3_2"/>
      <w:bookmarkStart w:id="423" w:name="Tc_I15flt4A20ukG-DDjiJU8w_2_13"/>
      <w:bookmarkStart w:id="424" w:name="Tc_OMvkrUIMwUmjkW-XJaypiw_1_2"/>
      <w:bookmarkStart w:id="425" w:name="_625773d4_b4d7_4359_ab5d_fbeceb5a4061"/>
      <w:bookmarkStart w:id="426" w:name="Tc_UaF69naySUe0vzgHdd6Pvg_9_13"/>
      <w:bookmarkStart w:id="427" w:name="Tc_ZVC0qR5vTUGCTJG5iWRnPw_9_10"/>
      <w:bookmarkStart w:id="428" w:name="Tc_1y23hIriZkWp-oGS0ZCOtA_9_7"/>
      <w:bookmarkStart w:id="429" w:name="Tc_DBlC6UHMMka05Nxs0foeCg_9_4"/>
      <w:bookmarkStart w:id="430" w:name="Tc_u-D9wrEmnUee9e8WzorDZg_9_0"/>
      <w:bookmarkStart w:id="431" w:name="Tc_gEhxM2Jo5UOPxFss3B_btA_8_8"/>
      <w:bookmarkStart w:id="432" w:name="Tc_2zCmHG0GdEuaAJEzvSi1rw_8_5"/>
      <w:bookmarkStart w:id="433" w:name="Tc_HrwAzWJVm0q2MfQefQOPJQ_8_2"/>
      <w:bookmarkStart w:id="434" w:name="Tc_Uv7Ht0U7w0GxfzkQWfxgcw_8_0"/>
      <w:bookmarkStart w:id="435" w:name="Tc_pEcLdMF8L0uyrmJJ0WTkoQ_7_11"/>
      <w:bookmarkStart w:id="436" w:name="Tc_gDYrDCfkiEuFrz2P67P_ow_7_5"/>
      <w:bookmarkStart w:id="437" w:name="Tc_KhwZJHMXs0W7DJl9xSj70g_7_2"/>
      <w:bookmarkStart w:id="438" w:name="Tc_LZmei1UGmkyY6a7htO-6WQ_7_0"/>
      <w:bookmarkStart w:id="439" w:name="Tc_O99OBBR3ckOj_19xlYbfGg_6_11"/>
      <w:bookmarkStart w:id="440" w:name="Tc_TS2fd5XmBESPzK5UHAXQ3Q_6_8"/>
      <w:bookmarkStart w:id="441" w:name="Tc_AunBwTNzu0KSMncIy9ICcA_6_0"/>
      <w:bookmarkStart w:id="442" w:name="Tc_Ua27lg1Z1UaAe4_dViZpTQ_5_13"/>
      <w:bookmarkStart w:id="443" w:name="Tc_9jSqnhrlJkquZreBsB_I4Q_5_10"/>
      <w:bookmarkStart w:id="444" w:name="Tc_eB3TFUES90SbeiWj36rEhg_5_7"/>
      <w:bookmarkStart w:id="445" w:name="Tc_t2og67RnJUCZWukobNGPCg_5_4"/>
      <w:bookmarkStart w:id="446" w:name="Tc_5XmjX5oNWE6WezfQIjXn2Q_5_0"/>
      <w:bookmarkStart w:id="447" w:name="Tc_ERXISKq2HkOYpUcuxraj_A_4_13"/>
      <w:bookmarkStart w:id="448" w:name="Tc_LeoZ0Kzz0kO2TKzcnSnD2w_4_10"/>
      <w:bookmarkStart w:id="449" w:name="Tc_7q5971ZZfE24EsKWSC9YdA_4_7"/>
      <w:bookmarkStart w:id="450" w:name="Tc_lYHllhES9E-X7DHCCzqvaw_4_4"/>
      <w:bookmarkStart w:id="451" w:name="Tc_4wDRVcbpjk66TloUA3rYPw_4_2"/>
      <w:bookmarkStart w:id="452" w:name="Tc_Tvp5rjbKFUCeHsoLbE-eSg_3_13"/>
      <w:bookmarkStart w:id="453" w:name="Tc_UQf4ucGYhUWApLpQHxk8aw_3_10"/>
      <w:bookmarkStart w:id="454" w:name="Tc_YzbEgSwohkS3nU4dYgTtwg_3_7"/>
      <w:bookmarkStart w:id="455" w:name="Tc_Y31VK0uqskGxqBi1hjVACA_3_2"/>
      <w:bookmarkStart w:id="456" w:name="Tc_I15flt4A20ukG-DDjiJU8w_2_13"/>
      <w:bookmarkStart w:id="457" w:name="Tc_OMvkrUIMwUmjkW-XJaypiw_1_2"/>
      <w:bookmarkStart w:id="458" w:name="_625773d4_b4d7_4359_ab5d_fbeceb5a4061"/>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tbl>
      <w:tblPr>
        <w:tblW w:w="10205" w:type="dxa"/>
        <w:jc w:val="left"/>
        <w:tblInd w:w="0" w:type="dxa"/>
        <w:tblLayout w:type="fixed"/>
        <w:tblCellMar>
          <w:top w:w="0" w:type="dxa"/>
          <w:left w:w="0" w:type="dxa"/>
          <w:bottom w:w="0" w:type="dxa"/>
          <w:right w:w="0" w:type="dxa"/>
        </w:tblCellMar>
      </w:tblPr>
      <w:tblGrid>
        <w:gridCol w:w="2961"/>
        <w:gridCol w:w="346"/>
        <w:gridCol w:w="916"/>
        <w:gridCol w:w="346"/>
        <w:gridCol w:w="199"/>
        <w:gridCol w:w="612"/>
        <w:gridCol w:w="346"/>
        <w:gridCol w:w="207"/>
        <w:gridCol w:w="1068"/>
        <w:gridCol w:w="346"/>
        <w:gridCol w:w="196"/>
        <w:gridCol w:w="1097"/>
        <w:gridCol w:w="346"/>
        <w:gridCol w:w="196"/>
        <w:gridCol w:w="1023"/>
      </w:tblGrid>
      <w:tr>
        <w:trPr/>
        <w:tc>
          <w:tcPr>
            <w:tcW w:w="2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80235" cy="175260"/>
                      <wp:effectExtent l="0" t="0" r="0" b="0"/>
                      <wp:wrapNone/>
                      <wp:docPr id="70" name="Frame69"/>
                      <a:graphic xmlns:a="http://schemas.openxmlformats.org/drawingml/2006/main">
                        <a:graphicData uri="http://schemas.microsoft.com/office/word/2010/wordprocessingShape">
                          <wps:wsp>
                            <wps:cNvSpPr txBox="1"/>
                            <wps:spPr>
                              <a:xfrm>
                                <a:off x="0" y="0"/>
                                <a:ext cx="188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81660" cy="175260"/>
                      <wp:effectExtent l="0" t="0" r="0" b="0"/>
                      <wp:wrapNone/>
                      <wp:docPr id="72" name="Frame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6365" cy="175260"/>
                      <wp:effectExtent l="0" t="0" r="0" b="0"/>
                      <wp:wrapNone/>
                      <wp:docPr id="74" name="Frame7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88620" cy="175260"/>
                      <wp:effectExtent l="0" t="0" r="0" b="0"/>
                      <wp:wrapNone/>
                      <wp:docPr id="75" name="Frame7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1445" cy="175260"/>
                      <wp:effectExtent l="0" t="0" r="0" b="0"/>
                      <wp:wrapNone/>
                      <wp:docPr id="77" name="Frame7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78180" cy="175260"/>
                      <wp:effectExtent l="0" t="0" r="0" b="0"/>
                      <wp:wrapNone/>
                      <wp:docPr id="78" name="Frame77"/>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0"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6595" cy="175260"/>
                      <wp:effectExtent l="0" t="0" r="0" b="0"/>
                      <wp:wrapNone/>
                      <wp:docPr id="81" name="Frame8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3"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9605" cy="175260"/>
                      <wp:effectExtent l="0" t="0" r="0" b="0"/>
                      <wp:wrapNone/>
                      <wp:docPr id="84" name="Frame83"/>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6898"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w:t>
            </w:r>
          </w:p>
        </w:tc>
      </w:tr>
      <w:tr>
        <w:trPr/>
        <w:tc>
          <w:tcPr>
            <w:tcW w:w="2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99" w:type="dxa"/>
            <w:tcBorders/>
            <w:vAlign w:val="center"/>
          </w:tcPr>
          <w:p>
            <w:pPr>
              <w:pStyle w:val="TableContents"/>
              <w:bidi w:val="0"/>
              <w:spacing w:before="0" w:after="1"/>
              <w:ind w:left="0" w:right="0" w:hanging="0"/>
              <w:jc w:val="both"/>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207" w:type="dxa"/>
            <w:tcBorders/>
            <w:vAlign w:val="center"/>
          </w:tcPr>
          <w:p>
            <w:pPr>
              <w:pStyle w:val="TableContents"/>
              <w:bidi w:val="0"/>
              <w:spacing w:before="0" w:after="1"/>
              <w:ind w:left="0" w:right="0" w:hanging="0"/>
              <w:jc w:val="both"/>
              <w:rPr/>
            </w:pPr>
            <w:r>
              <w:rPr/>
              <w:t>​</w:t>
            </w:r>
          </w:p>
        </w:tc>
        <w:tc>
          <w:tcPr>
            <w:tcW w:w="106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09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21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both"/>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46" w:type="dxa"/>
            <w:tcBorders/>
            <w:vAlign w:val="center"/>
          </w:tcPr>
          <w:p>
            <w:pPr>
              <w:pStyle w:val="TableContents"/>
              <w:bidi w:val="0"/>
              <w:spacing w:before="0" w:after="1"/>
              <w:ind w:left="0" w:right="0" w:hanging="0"/>
              <w:jc w:val="both"/>
              <w:rPr/>
            </w:pPr>
            <w:r>
              <w:rPr/>
              <w:t>​</w:t>
            </w:r>
          </w:p>
        </w:tc>
        <w:tc>
          <w:tcPr>
            <w:tcW w:w="12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both"/>
              <w:rPr/>
            </w:pPr>
            <w:r>
              <w:rPr/>
              <w:t>​</w:t>
            </w:r>
          </w:p>
        </w:tc>
        <w:tc>
          <w:tcPr>
            <w:tcW w:w="121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both"/>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1"/>
              <w:ind w:left="0" w:right="0" w:hanging="0"/>
              <w:jc w:val="both"/>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46" w:type="dxa"/>
            <w:tcBorders/>
            <w:vAlign w:val="center"/>
          </w:tcPr>
          <w:p>
            <w:pPr>
              <w:pStyle w:val="TableContents"/>
              <w:bidi w:val="0"/>
              <w:spacing w:before="0" w:after="1"/>
              <w:ind w:left="0" w:right="0" w:hanging="0"/>
              <w:jc w:val="both"/>
              <w:rPr/>
            </w:pPr>
            <w:r>
              <w:rPr/>
              <w:t>  ​ ​ ​</w:t>
            </w:r>
          </w:p>
        </w:tc>
        <w:tc>
          <w:tcPr>
            <w:tcW w:w="12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both"/>
              <w:rPr/>
            </w:pPr>
            <w:r>
              <w:rPr/>
              <w:t>  ​ ​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6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January 1, 2025</w:t>
            </w:r>
          </w:p>
        </w:tc>
        <w:tc>
          <w:tcPr>
            <w:tcW w:w="346" w:type="dxa"/>
            <w:tcBorders/>
            <w:shd w:fill="CCEEFF" w:val="clear"/>
            <w:vAlign w:val="center"/>
          </w:tcPr>
          <w:p>
            <w:pPr>
              <w:pStyle w:val="TableContents"/>
              <w:bidi w:val="0"/>
              <w:spacing w:before="0" w:after="1"/>
              <w:ind w:left="0" w:right="0" w:hanging="0"/>
              <w:jc w:val="both"/>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10,709,005</w:t>
            </w:r>
          </w:p>
        </w:tc>
        <w:tc>
          <w:tcPr>
            <w:tcW w:w="346" w:type="dxa"/>
            <w:tcBorders/>
            <w:shd w:fill="CCEEFF" w:val="clear"/>
            <w:vAlign w:val="center"/>
          </w:tcPr>
          <w:p>
            <w:pPr>
              <w:pStyle w:val="TableContents"/>
              <w:bidi w:val="0"/>
              <w:spacing w:before="0" w:after="1"/>
              <w:ind w:left="0" w:right="0" w:hanging="0"/>
              <w:jc w:val="both"/>
              <w:rPr/>
            </w:pPr>
            <w:r>
              <w:rPr/>
              <w:t>​</w:t>
            </w:r>
          </w:p>
        </w:tc>
        <w:tc>
          <w:tcPr>
            <w:tcW w:w="199"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10,708</w:t>
            </w:r>
          </w:p>
        </w:tc>
        <w:tc>
          <w:tcPr>
            <w:tcW w:w="346" w:type="dxa"/>
            <w:tcBorders/>
            <w:shd w:fill="CCEEFF" w:val="clear"/>
            <w:vAlign w:val="center"/>
          </w:tcPr>
          <w:p>
            <w:pPr>
              <w:pStyle w:val="TableContents"/>
              <w:bidi w:val="0"/>
              <w:spacing w:before="0" w:after="1"/>
              <w:ind w:left="0" w:right="0" w:hanging="0"/>
              <w:jc w:val="both"/>
              <w:rPr/>
            </w:pPr>
            <w:r>
              <w:rPr/>
              <w:t>​</w:t>
            </w:r>
          </w:p>
        </w:tc>
        <w:tc>
          <w:tcPr>
            <w:tcW w:w="207"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465,564,876</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(447,017,178)</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18,558,406</w:t>
            </w:r>
          </w:p>
        </w:tc>
      </w:tr>
      <w:tr>
        <w:trPr/>
        <w:tc>
          <w:tcPr>
            <w:tcW w:w="2961"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Issuance of common stock from exercise of prefunded warrants</w:t>
            </w:r>
          </w:p>
        </w:tc>
        <w:tc>
          <w:tcPr>
            <w:tcW w:w="346" w:type="dxa"/>
            <w:tcBorders/>
            <w:vAlign w:val="center"/>
          </w:tcPr>
          <w:p>
            <w:pPr>
              <w:pStyle w:val="TableContents"/>
              <w:bidi w:val="0"/>
              <w:spacing w:before="0" w:after="1"/>
              <w:ind w:left="0" w:right="0" w:hanging="0"/>
              <w:jc w:val="both"/>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605,830</w:t>
            </w:r>
          </w:p>
        </w:tc>
        <w:tc>
          <w:tcPr>
            <w:tcW w:w="346" w:type="dxa"/>
            <w:tcBorders/>
            <w:vAlign w:val="center"/>
          </w:tcPr>
          <w:p>
            <w:pPr>
              <w:pStyle w:val="TableContents"/>
              <w:bidi w:val="0"/>
              <w:spacing w:before="0" w:after="1"/>
              <w:ind w:left="0" w:right="0" w:hanging="0"/>
              <w:jc w:val="both"/>
              <w:rPr/>
            </w:pPr>
            <w:r>
              <w:rPr/>
              <w:t>​</w:t>
            </w:r>
          </w:p>
        </w:tc>
        <w:tc>
          <w:tcPr>
            <w:tcW w:w="199" w:type="dxa"/>
            <w:tcBorders/>
            <w:vAlign w:val="center"/>
          </w:tcPr>
          <w:p>
            <w:pPr>
              <w:pStyle w:val="TableContents"/>
              <w:bidi w:val="0"/>
              <w:spacing w:before="0" w:after="1"/>
              <w:ind w:left="0" w:right="0" w:hanging="0"/>
              <w:jc w:val="both"/>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w:t>
            </w:r>
          </w:p>
        </w:tc>
        <w:tc>
          <w:tcPr>
            <w:tcW w:w="346" w:type="dxa"/>
            <w:tcBorders/>
            <w:vAlign w:val="center"/>
          </w:tcPr>
          <w:p>
            <w:pPr>
              <w:pStyle w:val="TableContents"/>
              <w:bidi w:val="0"/>
              <w:spacing w:before="0" w:after="1"/>
              <w:ind w:left="0" w:right="0" w:hanging="0"/>
              <w:jc w:val="both"/>
              <w:rPr/>
            </w:pPr>
            <w:r>
              <w:rPr/>
              <w:t>​</w:t>
            </w:r>
          </w:p>
        </w:tc>
        <w:tc>
          <w:tcPr>
            <w:tcW w:w="207" w:type="dxa"/>
            <w:tcBorders/>
            <w:vAlign w:val="center"/>
          </w:tcPr>
          <w:p>
            <w:pPr>
              <w:pStyle w:val="TableContents"/>
              <w:bidi w:val="0"/>
              <w:spacing w:before="0" w:after="1"/>
              <w:ind w:left="0" w:right="0" w:hanging="0"/>
              <w:jc w:val="both"/>
              <w:rPr/>
            </w:pPr>
            <w:r>
              <w:rPr/>
              <w:t>​</w:t>
            </w:r>
          </w:p>
        </w:tc>
        <w:tc>
          <w:tcPr>
            <w:tcW w:w="10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0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0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w:t>
            </w:r>
          </w:p>
        </w:tc>
      </w:tr>
      <w:tr>
        <w:trPr/>
        <w:tc>
          <w:tcPr>
            <w:tcW w:w="296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both"/>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99" w:type="dxa"/>
            <w:tcBorders/>
            <w:shd w:fill="CCEEFF" w:val="clear"/>
            <w:vAlign w:val="center"/>
          </w:tcPr>
          <w:p>
            <w:pPr>
              <w:pStyle w:val="TableContents"/>
              <w:bidi w:val="0"/>
              <w:spacing w:before="0" w:after="1"/>
              <w:ind w:left="0" w:right="0" w:hanging="0"/>
              <w:jc w:val="both"/>
              <w:rPr/>
            </w:pPr>
            <w:r>
              <w:rPr/>
              <w:t> </w:t>
            </w:r>
          </w:p>
        </w:tc>
        <w:tc>
          <w:tcPr>
            <w:tcW w:w="6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07" w:type="dxa"/>
            <w:tcBorders/>
            <w:shd w:fill="CCEEFF" w:val="clear"/>
            <w:vAlign w:val="center"/>
          </w:tcPr>
          <w:p>
            <w:pPr>
              <w:pStyle w:val="TableContents"/>
              <w:bidi w:val="0"/>
              <w:spacing w:before="0" w:after="1"/>
              <w:ind w:left="0" w:right="0" w:hanging="0"/>
              <w:jc w:val="both"/>
              <w:rPr/>
            </w:pPr>
            <w:r>
              <w:rPr/>
              <w:t> </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393,130</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 </w:t>
            </w:r>
          </w:p>
        </w:tc>
        <w:tc>
          <w:tcPr>
            <w:tcW w:w="10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 </w:t>
            </w:r>
          </w:p>
        </w:tc>
        <w:tc>
          <w:tcPr>
            <w:tcW w:w="10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393,130</w:t>
            </w:r>
          </w:p>
        </w:tc>
      </w:tr>
      <w:tr>
        <w:trPr/>
        <w:tc>
          <w:tcPr>
            <w:tcW w:w="2961"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both"/>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6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(8,461,748)</w:t>
            </w:r>
          </w:p>
        </w:tc>
        <w:tc>
          <w:tcPr>
            <w:tcW w:w="346" w:type="dxa"/>
            <w:tcBorders/>
            <w:vAlign w:val="center"/>
          </w:tcPr>
          <w:p>
            <w:pPr>
              <w:pStyle w:val="TableContents"/>
              <w:bidi w:val="0"/>
              <w:spacing w:before="0" w:after="1"/>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(8,461,748)</w:t>
            </w:r>
          </w:p>
        </w:tc>
      </w:tr>
      <w:tr>
        <w:trPr/>
        <w:tc>
          <w:tcPr>
            <w:tcW w:w="296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June 30, 2025</w:t>
            </w:r>
          </w:p>
        </w:tc>
        <w:tc>
          <w:tcPr>
            <w:tcW w:w="346" w:type="dxa"/>
            <w:tcBorders/>
            <w:shd w:fill="CCEEFF" w:val="clear"/>
            <w:vAlign w:val="center"/>
          </w:tcPr>
          <w:p>
            <w:pPr>
              <w:pStyle w:val="TableContents"/>
              <w:bidi w:val="0"/>
              <w:spacing w:before="0" w:after="1"/>
              <w:ind w:left="0" w:right="0" w:hanging="0"/>
              <w:jc w:val="both"/>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11,314,835</w:t>
            </w:r>
          </w:p>
        </w:tc>
        <w:tc>
          <w:tcPr>
            <w:tcW w:w="346" w:type="dxa"/>
            <w:tcBorders/>
            <w:shd w:fill="CCEEFF" w:val="clear"/>
            <w:vAlign w:val="center"/>
          </w:tcPr>
          <w:p>
            <w:pPr>
              <w:pStyle w:val="TableContents"/>
              <w:bidi w:val="0"/>
              <w:spacing w:before="0" w:after="1"/>
              <w:ind w:left="0" w:right="0" w:hanging="0"/>
              <w:jc w:val="both"/>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11,313</w:t>
            </w:r>
          </w:p>
        </w:tc>
        <w:tc>
          <w:tcPr>
            <w:tcW w:w="346" w:type="dxa"/>
            <w:tcBorders/>
            <w:shd w:fill="CCEEFF" w:val="clear"/>
            <w:vAlign w:val="center"/>
          </w:tcPr>
          <w:p>
            <w:pPr>
              <w:pStyle w:val="TableContents"/>
              <w:bidi w:val="0"/>
              <w:spacing w:before="0" w:after="1"/>
              <w:ind w:left="0" w:right="0" w:hanging="0"/>
              <w:jc w:val="both"/>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465,958,006</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(455,478,926)</w:t>
            </w:r>
          </w:p>
        </w:tc>
        <w:tc>
          <w:tcPr>
            <w:tcW w:w="346" w:type="dxa"/>
            <w:tcBorders/>
            <w:shd w:fill="CCEEFF" w:val="clear"/>
            <w:vAlign w:val="center"/>
          </w:tcPr>
          <w:p>
            <w:pPr>
              <w:pStyle w:val="TableContents"/>
              <w:bidi w:val="0"/>
              <w:spacing w:before="0" w:after="1"/>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10,490,393</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59" w:name="_31e157ae_6424_4254_837c_e68b2297274b"/>
      <w:bookmarkEnd w:id="459"/>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60" w:name="CONDENSEDCONSOLIDATEDSTATEMENTSOFCASHFLO"/>
      <w:bookmarkEnd w:id="460"/>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61" w:name="Tc_MbCnec1X-EyRGiZDNBymaw_20_5"/>
      <w:bookmarkStart w:id="462" w:name="Tc_kk02fkrSzkuWThFCI0aaVw_20_2"/>
      <w:bookmarkStart w:id="463" w:name="Tc_bYHn7IruDECNJy2rCzRQ1Q_20_0"/>
      <w:bookmarkStart w:id="464" w:name="Tc_N_Cwyh4np0mWAAsI46_DWw_19_0"/>
      <w:bookmarkStart w:id="465" w:name="Tc_MTQKrRhxeU2qSyfWn81OMA_18_0"/>
      <w:bookmarkStart w:id="466" w:name="Tc_b_f3wRwBCEGUoGvJ7YYVSQ_17_3"/>
      <w:bookmarkStart w:id="467" w:name="Tc_vhLaUc5TUUKYM0eJb_vP2Q_17_0"/>
      <w:bookmarkStart w:id="468" w:name="Tc__P-syLqfek-VXx1fb4C47g_16_3"/>
      <w:bookmarkStart w:id="469" w:name="Tc_QjnhQl2Ey060c6i8gncQnw_16_0"/>
      <w:bookmarkStart w:id="470" w:name="Tc_6l93xIFzmE-Hlm9RaxeK9g_15_0"/>
      <w:bookmarkStart w:id="471" w:name="Tc_J5Jxst6Ifk6sZgvW9Gs6WA_14_0"/>
      <w:bookmarkStart w:id="472" w:name="Tc_e71GGEZIBkKbFiPpPKKejw_13_0"/>
      <w:bookmarkStart w:id="473" w:name="Tc_WFjb_hb4dUardTQIbsHs7A_12_0"/>
      <w:bookmarkStart w:id="474" w:name="Tc_tJen72B-u0qXkqtZz7b-uw_11_0"/>
      <w:bookmarkStart w:id="475" w:name="Tc_CXEx12iae0qUyDgTR8MhAA_10_0"/>
      <w:bookmarkStart w:id="476" w:name="Tc_tN3Lvs7ko0GY913_UwPPgQ_9_0"/>
      <w:bookmarkStart w:id="477" w:name="Tc_UVneDTho302prZgOAvSvPQ_8_0"/>
      <w:bookmarkStart w:id="478" w:name="Tc_ctmRwZRpPkKonrLu4w2uig_7_0"/>
      <w:bookmarkStart w:id="479" w:name="Tc_v6qOEhu7hkqcH7i1imJkAg_6_0"/>
      <w:bookmarkStart w:id="480" w:name="Tc_mgk_p8VX6kKKdYw1ZPvtmA_5_5"/>
      <w:bookmarkStart w:id="481" w:name="Tc_PU2F7a95F0mJnIjO3Q7pzA_5_2"/>
      <w:bookmarkStart w:id="482" w:name="Tc_uqjqxbQomEWenLWPPtFqew_5_0"/>
      <w:bookmarkStart w:id="483" w:name="Tc_9U8_SXaTWkOl2l1KJ9AZOQ_4_0"/>
      <w:bookmarkStart w:id="484" w:name="Tc_MtetkzVxiUOYFMP6dnJmzw_3_5"/>
      <w:bookmarkStart w:id="485" w:name="Tc_MKMxsFQSzkuI2ObSxjCGvA_3_2"/>
      <w:bookmarkStart w:id="486" w:name="Tc_qQ9fs4wRckOqXZwZ5uGi4w_2_2"/>
      <w:bookmarkStart w:id="487" w:name="Tc_fgDA4nzUekGV3zfrgWYPmw_1_2"/>
      <w:bookmarkStart w:id="488" w:name="_2754bc31_9829_47cf_b327_8a54e3fb6fa6"/>
      <w:bookmarkStart w:id="489" w:name="Tc_MbCnec1X-EyRGiZDNBymaw_20_5"/>
      <w:bookmarkStart w:id="490" w:name="Tc_kk02fkrSzkuWThFCI0aaVw_20_2"/>
      <w:bookmarkStart w:id="491" w:name="Tc_bYHn7IruDECNJy2rCzRQ1Q_20_0"/>
      <w:bookmarkStart w:id="492" w:name="Tc_N_Cwyh4np0mWAAsI46_DWw_19_0"/>
      <w:bookmarkStart w:id="493" w:name="Tc_MTQKrRhxeU2qSyfWn81OMA_18_0"/>
      <w:bookmarkStart w:id="494" w:name="Tc_b_f3wRwBCEGUoGvJ7YYVSQ_17_3"/>
      <w:bookmarkStart w:id="495" w:name="Tc_vhLaUc5TUUKYM0eJb_vP2Q_17_0"/>
      <w:bookmarkStart w:id="496" w:name="Tc__P-syLqfek-VXx1fb4C47g_16_3"/>
      <w:bookmarkStart w:id="497" w:name="Tc_QjnhQl2Ey060c6i8gncQnw_16_0"/>
      <w:bookmarkStart w:id="498" w:name="Tc_6l93xIFzmE-Hlm9RaxeK9g_15_0"/>
      <w:bookmarkStart w:id="499" w:name="Tc_J5Jxst6Ifk6sZgvW9Gs6WA_14_0"/>
      <w:bookmarkStart w:id="500" w:name="Tc_e71GGEZIBkKbFiPpPKKejw_13_0"/>
      <w:bookmarkStart w:id="501" w:name="Tc_WFjb_hb4dUardTQIbsHs7A_12_0"/>
      <w:bookmarkStart w:id="502" w:name="Tc_tJen72B-u0qXkqtZz7b-uw_11_0"/>
      <w:bookmarkStart w:id="503" w:name="Tc_CXEx12iae0qUyDgTR8MhAA_10_0"/>
      <w:bookmarkStart w:id="504" w:name="Tc_tN3Lvs7ko0GY913_UwPPgQ_9_0"/>
      <w:bookmarkStart w:id="505" w:name="Tc_UVneDTho302prZgOAvSvPQ_8_0"/>
      <w:bookmarkStart w:id="506" w:name="Tc_ctmRwZRpPkKonrLu4w2uig_7_0"/>
      <w:bookmarkStart w:id="507" w:name="Tc_v6qOEhu7hkqcH7i1imJkAg_6_0"/>
      <w:bookmarkStart w:id="508" w:name="Tc_mgk_p8VX6kKKdYw1ZPvtmA_5_5"/>
      <w:bookmarkStart w:id="509" w:name="Tc_PU2F7a95F0mJnIjO3Q7pzA_5_2"/>
      <w:bookmarkStart w:id="510" w:name="Tc_uqjqxbQomEWenLWPPtFqew_5_0"/>
      <w:bookmarkStart w:id="511" w:name="Tc_9U8_SXaTWkOl2l1KJ9AZOQ_4_0"/>
      <w:bookmarkStart w:id="512" w:name="Tc_MtetkzVxiUOYFMP6dnJmzw_3_5"/>
      <w:bookmarkStart w:id="513" w:name="Tc_MKMxsFQSzkuI2ObSxjCGvA_3_2"/>
      <w:bookmarkStart w:id="514" w:name="Tc_qQ9fs4wRckOqXZwZ5uGi4w_2_2"/>
      <w:bookmarkStart w:id="515" w:name="Tc_fgDA4nzUekGV3zfrgWYPmw_1_2"/>
      <w:bookmarkStart w:id="516" w:name="_2754bc31_9829_47cf_b327_8a54e3fb6fa6"/>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tbl>
      <w:tblPr>
        <w:tblW w:w="9022" w:type="dxa"/>
        <w:jc w:val="left"/>
        <w:tblInd w:w="0" w:type="dxa"/>
        <w:tblLayout w:type="fixed"/>
        <w:tblCellMar>
          <w:top w:w="0" w:type="dxa"/>
          <w:left w:w="0" w:type="dxa"/>
          <w:bottom w:w="0" w:type="dxa"/>
          <w:right w:w="0" w:type="dxa"/>
        </w:tblCellMar>
      </w:tblPr>
      <w:tblGrid>
        <w:gridCol w:w="5716"/>
        <w:gridCol w:w="346"/>
        <w:gridCol w:w="211"/>
        <w:gridCol w:w="1051"/>
        <w:gridCol w:w="346"/>
        <w:gridCol w:w="211"/>
        <w:gridCol w:w="114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9660" cy="175260"/>
                      <wp:effectExtent l="0" t="0" r="0" b="0"/>
                      <wp:wrapNone/>
                      <wp:docPr id="85" name="Frame8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7385" cy="175260"/>
                      <wp:effectExtent l="0" t="0" r="0" b="0"/>
                      <wp:wrapNone/>
                      <wp:docPr id="88" name="Frame8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24535" cy="175260"/>
                      <wp:effectExtent l="0" t="0" r="0" b="0"/>
                      <wp:wrapNone/>
                      <wp:docPr id="91" name="Frame9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9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71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9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both"/>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(5,005,507)</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(8,461,748)</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374,157</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393,130</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both"/>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(384,926)</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(794,872)</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(250,077)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672,368</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804,795</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(1,053,869)</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(275,467)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513,917</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grant income</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(383,490)</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(5,120,515)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(7,378,099)</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exercise of warrants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(5,120,515)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(7,377,494)</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17,042,847</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11,922,332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11,814,946</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7" w:name="_c51a2036_8470_410c_a4c1_8dbce985074e"/>
      <w:bookmarkEnd w:id="51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18" w:name="NOTESTOCONDENSEDCONSOLIDATEDFINANCIALSTA"/>
      <w:bookmarkEnd w:id="518"/>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 Baylor College of Medicine (“BCM”) supplies the Company with its Multi-Antigen Recognizing (MAR)-T cell products, including MT-601, the Company’s lead MAR-T cell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the Company entered into a Statement of Work (the “SOW”) with Cellipont Bioservices (“Cellipont”), a leading cell therapy Contract Development and Manufacturing Organization (“CDMO”), for the manufacturing of MT-601.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results for the unaudited condensed consolidated statement of operations are not necessarily indicative of results to be expected for the year ending December 31, 2026, or for any future interim period. The condensed consolidated balance sheet at December 31, 2025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2025 and notes thereto included in the Company’s annual report on Form 10-K filed on March 18,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prior year revenue amounts have been reclassified as other income to conform to the current year presentation. See Note 4 for further information on the Company’s adoption of ASU 2025-10 and the related reclassification.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3: LIQUIDITY AND FINANCIAL CONDITION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cash, cash equivalents, and restricted cash of approximately $11.9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 and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 The was no activity under the ATM Agreement during either period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the Cancer Prevention and Research Institute of Texas (“CPRIT”) to support the Company’s clinical investigation of MT-401 (the “CPRIT AML Grant”). Through the date of this filing, the Company has received $11.8 million of funds from the CPRIT AML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clinical investigation of MT-401 for the treatment of post-transplant AML (the “FDA Grant”). Through the date of this filing, the Company has received $1.2 million in funds from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that it had received a $2.0 million grant from the National Institutes of Health (“NIH”) Small Business Innovation Research (“SBIR”) program to support the development and investigation of MT-401 for the treatment of AML patients following standard-of-care therapy with hypomethylating agents (the “SBIR AML Grant”). Through the date of this filing, the Company has received $1.8 million in funds from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National Institutes of Health SBIR program to support control over tumor immune escape in pancreatic cancer using a dual T cell product strategy (the “Decoy Grant”). Through the date of this filing, the Company has received approximately $0.7 million in funds from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 $2.0 million grant from the NIH SBIR program to support the clinical investigation of MT-601 in patients with non-Hodgkin’s lymphoma (“NHL”) who have relapsed following anti-CD19 chimeric antigen receptor (CAR) T cell therapy (the “SBIR NHL Grant”). Through the date of this filing, the Company has received $1.3 million in funds from the SBIR NHL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the Company received another $2.0 million grant from the NIH SBIR program to support the advancement of MT-601 in patients with pancreatic cancer (the “PANACEA Grant”). Through the date of this filing, the Company has received approximately $0.6 million in funds from the PANACEA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2024, the Company received notice of an additional $9.5 million grant from CPRIT to support the clinical investigation of MT-601 in patients with metastatic pancreatic cancer (the “CPRIT Pancreatic Grant”). Through the date of this filing, the Company has received $1.5 million in funds from this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2026, the Company received notice of a $4.2 million grant from the U.S. Department of War (previously Department of Defense) to support the clinical investigation of MT-601 in relapsed/refractory large B-cell lymphoma (“LBCL”) (the “DoW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The transaction closed on December 23, 2024, with net proceeds from the sale of securities in the Private Placement of approximately $14.9 million, which does not include any proceeds that may be received upon exercise of any warrants issued in the Private Placement. Both the Pre-Funded Warrants and the Private Placement Warrants were not exercisable until the Company obtained shareholder approval, which was received on March 21,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lack of recurring revenues, anticipated uses of cash and historical recurring cash losses from operating activities, and cash, cash equivalents, and restricted cash as of June 30, 2026, the Company anticipates that it will be able to fund its operating expenses and capital expenditure requirements into the second quarter of 2027, assuming no additional grant funds are received, either from new grants or from existing awarded grants. These factors raise substantial doubt regarding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considering raising additional capital through the issuance of securities and intends to apply for additional grant funds, which could enable the Company to fund its operating expenses and capital expenditure requirements beyond the second quarter of 2027,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 of which there can be no assurances.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continues, or accelerates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2025 filed on March 18,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Restricted Cash,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cash equivalents, and restricted cash at June 30, 2026 consisted of cash and certificates of deposit in institutions in the United States. The Company maintains cash in accounts which are in excess of the Federal Deposit Insurance Corporation (“FDIC”) insured limits of $250,000. As of June 30, 2026, the Company had approximately $1.2 million in cash at financial institutions, including $0.6 million of restricted cash at financial institutions, and approximately $10.7 million in U.S. government agency securities, for aggregate cash, cash equivalents, and restricted cash of $11.9 million. As of December 31, 2025, the Company had approximately $1.6 million in cash at financial institutions and approximately $15.4 million in U.S. government agency securities, for aggregate cash and cash equivalents, and restricted cash of $17.0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and deferred grant income until it is earned and recorded to grant income. As of June 30, 2026, $0.6 million was recorded as restricted cash and deferred grant income on the Company’s condensed consolidated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Modification of Stock Options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similar modifications of stock options during the three or six months ended June 30,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Company’s single operating and reportable segment are the same as those described in the Company’s summary of significant accounting policies as previously disclosed in the Annual Report on Form 10-K for the year ended December 31, 2025 filed on March 18, 2026. The measure of segment assets is reported on the condensed consolidated balance sheets as total assets. The CODM evaluates performance and allocates resources based on consolidated net income (loss) that also is reported on the condensed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The significant expenses regularly reviewed by the CODM are consistent with those reported on the Company’s consolidated statements of operations, and expenses are not regularly reviewed on a more disaggregated basis for purposes of assessing segment performance and deciding how to allocate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Grants (Topic 832): Accounting for Government Grants Received by Business Entities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2025-10, Government Grants (Topic 832): Accounting for Government Grants Received by Business Entities. The new standard is intended to establish authoritative guidance on the accounting for government grants received by business entities and reduce diversity in practice. The amendments establish the timing and methods of recognition of both (1) a grant related to an asset and (2) a grant related to income. The amendments also require certain disclosures including the nature of the grant received, the accounting policies used to account for the grant, and significant terms and conditions for the grant. Effective January 1, 2026, the Company adopted the new standard and applied it retrospectively to prior periods presented. The Company continues to recognize grant income when the Company incurs qualifying expenses related to the grants for the amount the Company is entitled to under the provisions of the contract. This methodology is consistent with the guidance under ASU 2025-10, which states that an entity should not recognize a government grant until it is probable that 1) the entity will comply with the conditions attached to the government grant and 2) the government grant will be received. Accordingly, the Company does not believe the new disclosure requirements had a material impact to its financial positions, results of operations and cash flows, other than the reclassification of grant income from revenue into other income.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19" w:name="Tc_sbz6P20iH0iYSqsiw2gveA_6_0"/>
      <w:bookmarkStart w:id="520" w:name="Tc_0gEU872NWU-weueaeVrO7A_5_0"/>
      <w:bookmarkStart w:id="521" w:name="Tc_cP3MqP3te0iV4_wlUs6eMg_4_0"/>
      <w:bookmarkStart w:id="522" w:name="Tc_Zcjgq0NFxEWHa8YfRzcNvQ_3_4"/>
      <w:bookmarkStart w:id="523" w:name="Tc_yrXmqP5qP0SO6G2nXE8EVw_3_2"/>
      <w:bookmarkStart w:id="524" w:name="Tc_GOioYdF5qk6ZBvhZFsddSw_2_2"/>
      <w:bookmarkStart w:id="525" w:name="Tc__lOO_tIs3UO3sHs1xrlJPw_1_2"/>
      <w:bookmarkStart w:id="526" w:name="Tc_3GD_yEqlbk-vpizYmgh0Ag_12_11"/>
      <w:bookmarkStart w:id="527" w:name="Tc_UHzC-rTT4UmH4_gTlSBK6w_12_8"/>
      <w:bookmarkStart w:id="528" w:name="Tc_OV_jiyNL40uPVK0pz1jWsQ_12_5"/>
      <w:bookmarkStart w:id="529" w:name="Tc_kP8lvrvKRk6L8OloIy-FaQ_12_2"/>
      <w:bookmarkStart w:id="530" w:name="Tc_qesx2IAL0U6w-WQqKOweVA_12_0"/>
      <w:bookmarkStart w:id="531" w:name="Tc_CY2xmgpcZUKMwXNzpqiHxw_11_0"/>
      <w:bookmarkStart w:id="532" w:name="Tc_jI8X9QRkA0iFq16RVEEZzw_9_0"/>
      <w:bookmarkStart w:id="533" w:name="Tc_Rm_-FYTzt0q2fRGm8tRUCQ_8_0"/>
      <w:bookmarkStart w:id="534" w:name="Tc_gYYZCmZfW0G1_xhqc-yxMg_7_0"/>
      <w:bookmarkStart w:id="535" w:name="Tc_DNDwsdvgE0-BEenoYnNRsA_5_11"/>
      <w:bookmarkStart w:id="536" w:name="Tc_IhaH63o8lEaLhOkjoySmjQ_5_8"/>
      <w:bookmarkStart w:id="537" w:name="Tc_5jdqVBnxO0WhHIzVo0twvw_5_5"/>
      <w:bookmarkStart w:id="538" w:name="Tc_aCNWOwqAbEm_GAAflj1rVQ_5_2"/>
      <w:bookmarkStart w:id="539" w:name="Tc_86s-8v2soEWVGP4QcavAKg_5_0"/>
      <w:bookmarkStart w:id="540" w:name="Tc_Qu3vKbpePUq32Qr7cbVfKA_4_0"/>
      <w:bookmarkStart w:id="541" w:name="Tc_aS0_T4-wwUa2dJM9mStNMg_3_11"/>
      <w:bookmarkStart w:id="542" w:name="Tc_UOh_OHxw9k27YpQUz7BJEw_3_8"/>
      <w:bookmarkStart w:id="543" w:name="Tc_jstA-c-s6U-X9uWsgcz0dg_3_5"/>
      <w:bookmarkStart w:id="544" w:name="Tc_d5GdRci-gUCV9p8Gij360w_3_2"/>
      <w:bookmarkStart w:id="545" w:name="Tc_XbGrUYuynkapvUop-6xGcA_2_8"/>
      <w:bookmarkStart w:id="546" w:name="Tc_H-bMuKChcE-M_QerWLIjnQ_2_2"/>
      <w:bookmarkStart w:id="547" w:name="Tc_EDzqAhuCiUms5-4SxQDNTg_1_8"/>
      <w:bookmarkStart w:id="548" w:name="Tc_3NNrpkLQ1EOSdPhQ7CyAGA_1_2"/>
      <w:bookmarkStart w:id="549" w:name="_d12d17c6_ded5_4df1_a975_1e6327178778"/>
      <w:bookmarkStart w:id="550" w:name="_18648bef_c2bb_47ef_9084_5476736e56ff"/>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and six months ended June 30, 2026 and 2025, respectively:</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84"/>
        <w:gridCol w:w="346"/>
        <w:gridCol w:w="211"/>
        <w:gridCol w:w="1046"/>
        <w:gridCol w:w="346"/>
        <w:gridCol w:w="211"/>
        <w:gridCol w:w="1046"/>
        <w:gridCol w:w="406"/>
        <w:gridCol w:w="211"/>
        <w:gridCol w:w="1046"/>
        <w:gridCol w:w="346"/>
        <w:gridCol w:w="211"/>
        <w:gridCol w:w="1095"/>
      </w:tblGrid>
      <w:tr>
        <w:trPr/>
        <w:tc>
          <w:tcPr>
            <w:tcW w:w="3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39340" cy="175260"/>
                      <wp:effectExtent l="0" t="0" r="0" b="0"/>
                      <wp:wrapNone/>
                      <wp:docPr id="92" name="Frame91"/>
                      <a:graphic xmlns:a="http://schemas.openxmlformats.org/drawingml/2006/main">
                        <a:graphicData uri="http://schemas.microsoft.com/office/word/2010/wordprocessingShape">
                          <wps:wsp>
                            <wps:cNvSpPr txBox="1"/>
                            <wps:spPr>
                              <a:xfrm>
                                <a:off x="0" y="0"/>
                                <a:ext cx="23393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4210" cy="175260"/>
                      <wp:effectExtent l="0" t="0" r="0" b="0"/>
                      <wp:wrapNone/>
                      <wp:docPr id="95" name="Frame9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4210" cy="175260"/>
                      <wp:effectExtent l="0" t="0" r="0" b="0"/>
                      <wp:wrapNone/>
                      <wp:docPr id="98" name="Frame9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57810" cy="175260"/>
                      <wp:effectExtent l="0" t="0" r="0" b="0"/>
                      <wp:wrapNone/>
                      <wp:docPr id="99" name="Frame9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4210" cy="175260"/>
                      <wp:effectExtent l="0" t="0" r="0" b="0"/>
                      <wp:wrapNone/>
                      <wp:docPr id="101" name="Frame10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5325" cy="175260"/>
                      <wp:effectExtent l="0" t="0" r="0" b="0"/>
                      <wp:wrapNone/>
                      <wp:docPr id="104" name="Frame103"/>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684"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28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06" w:type="dxa"/>
            <w:tcBorders/>
            <w:vAlign w:val="center"/>
          </w:tcPr>
          <w:p>
            <w:pPr>
              <w:pStyle w:val="TableContents"/>
              <w:bidi w:val="0"/>
              <w:spacing w:before="0" w:after="1"/>
              <w:ind w:left="0" w:right="0" w:hanging="0"/>
              <w:jc w:val="both"/>
              <w:rPr/>
            </w:pPr>
            <w:r>
              <w:rPr/>
              <w:t> </w:t>
            </w:r>
          </w:p>
        </w:tc>
        <w:tc>
          <w:tcPr>
            <w:tcW w:w="290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684"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8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both"/>
              <w:rPr/>
            </w:pPr>
            <w:r>
              <w:rPr/>
              <w:t> </w:t>
            </w:r>
          </w:p>
        </w:tc>
        <w:tc>
          <w:tcPr>
            <w:tcW w:w="29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84"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both"/>
              <w:rPr/>
            </w:pPr>
            <w:r>
              <w:rPr/>
              <w:t>  ​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84"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40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5" w:type="dxa"/>
            <w:tcBorders/>
            <w:shd w:fill="CCEEFF" w:val="clear"/>
            <w:vAlign w:val="center"/>
          </w:tcPr>
          <w:p>
            <w:pPr>
              <w:pStyle w:val="TableContents"/>
              <w:bidi w:val="0"/>
              <w:spacing w:before="0" w:after="1"/>
              <w:ind w:left="0" w:right="0" w:hanging="0"/>
              <w:jc w:val="both"/>
              <w:rPr/>
            </w:pPr>
            <w:r>
              <w:rPr/>
              <w:t>​</w:t>
            </w:r>
          </w:p>
        </w:tc>
      </w:tr>
      <w:tr>
        <w:trPr/>
        <w:tc>
          <w:tcPr>
            <w:tcW w:w="3684"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(1,826,229)</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(4,015,564)</w:t>
            </w:r>
          </w:p>
        </w:tc>
        <w:tc>
          <w:tcPr>
            <w:tcW w:w="40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(5,005,507)</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(8,461,748)</w:t>
            </w:r>
          </w:p>
        </w:tc>
      </w:tr>
      <w:tr>
        <w:trPr/>
        <w:tc>
          <w:tcPr>
            <w:tcW w:w="3684"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40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5" w:type="dxa"/>
            <w:tcBorders/>
            <w:shd w:fill="CCEEFF" w:val="clear"/>
            <w:vAlign w:val="center"/>
          </w:tcPr>
          <w:p>
            <w:pPr>
              <w:pStyle w:val="TableContents"/>
              <w:bidi w:val="0"/>
              <w:spacing w:before="0" w:after="1"/>
              <w:ind w:left="0" w:right="0" w:hanging="0"/>
              <w:jc w:val="both"/>
              <w:rPr/>
            </w:pPr>
            <w:r>
              <w:rPr/>
              <w:t>​</w:t>
            </w:r>
          </w:p>
        </w:tc>
      </w:tr>
      <w:tr>
        <w:trPr/>
        <w:tc>
          <w:tcPr>
            <w:tcW w:w="3684"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5" w:type="dxa"/>
            <w:tcBorders/>
            <w:vAlign w:val="center"/>
          </w:tcPr>
          <w:p>
            <w:pPr>
              <w:pStyle w:val="TableContents"/>
              <w:bidi w:val="0"/>
              <w:spacing w:before="0" w:after="1"/>
              <w:ind w:left="0" w:right="0" w:hanging="0"/>
              <w:jc w:val="right"/>
              <w:rPr/>
            </w:pPr>
            <w:r>
              <w:rPr/>
              <w:t>​</w:t>
            </w:r>
          </w:p>
        </w:tc>
      </w:tr>
      <w:tr>
        <w:trPr/>
        <w:tc>
          <w:tcPr>
            <w:tcW w:w="3684"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basic</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40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r>
      <w:tr>
        <w:trPr/>
        <w:tc>
          <w:tcPr>
            <w:tcW w:w="3684"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diluted</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40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19,314,742</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r>
      <w:tr>
        <w:trPr/>
        <w:tc>
          <w:tcPr>
            <w:tcW w:w="3684"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40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5" w:type="dxa"/>
            <w:tcBorders/>
            <w:shd w:fill="CCEEFF" w:val="clear"/>
            <w:vAlign w:val="center"/>
          </w:tcPr>
          <w:p>
            <w:pPr>
              <w:pStyle w:val="TableContents"/>
              <w:bidi w:val="0"/>
              <w:spacing w:before="0" w:after="1"/>
              <w:ind w:left="0" w:right="0" w:hanging="0"/>
              <w:jc w:val="both"/>
              <w:rPr/>
            </w:pPr>
            <w:r>
              <w:rPr/>
              <w:t>​</w:t>
            </w:r>
          </w:p>
        </w:tc>
      </w:tr>
      <w:tr>
        <w:trPr/>
        <w:tc>
          <w:tcPr>
            <w:tcW w:w="3684"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per share:</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5" w:type="dxa"/>
            <w:tcBorders/>
            <w:vAlign w:val="center"/>
          </w:tcPr>
          <w:p>
            <w:pPr>
              <w:pStyle w:val="TableContents"/>
              <w:bidi w:val="0"/>
              <w:spacing w:before="0" w:after="1"/>
              <w:ind w:left="0" w:right="0" w:hanging="0"/>
              <w:jc w:val="right"/>
              <w:rPr/>
            </w:pPr>
            <w:r>
              <w:rPr/>
              <w:t>​</w:t>
            </w:r>
          </w:p>
        </w:tc>
      </w:tr>
      <w:tr>
        <w:trPr/>
        <w:tc>
          <w:tcPr>
            <w:tcW w:w="3684"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40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calculation of weighted-average shares outstanding includes the impact of the Company’s pre-funded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left"/>
        <w:rPr/>
      </w:pPr>
      <w:r>
        <w:rPr/>
        <w:t>​</w:t>
      </w:r>
    </w:p>
    <w:tbl>
      <w:tblPr>
        <w:tblW w:w="5495" w:type="dxa"/>
        <w:jc w:val="left"/>
        <w:tblInd w:w="0" w:type="dxa"/>
        <w:tblLayout w:type="fixed"/>
        <w:tblCellMar>
          <w:top w:w="0" w:type="dxa"/>
          <w:left w:w="0" w:type="dxa"/>
          <w:bottom w:w="0" w:type="dxa"/>
          <w:right w:w="0" w:type="dxa"/>
        </w:tblCellMar>
      </w:tblPr>
      <w:tblGrid>
        <w:gridCol w:w="2836"/>
        <w:gridCol w:w="346"/>
        <w:gridCol w:w="931"/>
        <w:gridCol w:w="346"/>
        <w:gridCol w:w="103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00860" cy="175260"/>
                      <wp:effectExtent l="0" t="0" r="0" b="0"/>
                      <wp:wrapNone/>
                      <wp:docPr id="105" name="Frame10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6"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7"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57860" cy="175260"/>
                      <wp:effectExtent l="0" t="0" r="0" b="0"/>
                      <wp:wrapNone/>
                      <wp:docPr id="109" name="Frame1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31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83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3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83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4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1,792,878</w:t>
            </w:r>
          </w:p>
        </w:tc>
        <w:tc>
          <w:tcPr>
            <w:tcW w:w="346"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709,261</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4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c>
          <w:tcPr>
            <w:tcW w:w="346" w:type="dxa"/>
            <w:tcBorders/>
            <w:vAlign w:val="center"/>
          </w:tcPr>
          <w:p>
            <w:pPr>
              <w:pStyle w:val="TableContents"/>
              <w:bidi w:val="0"/>
              <w:spacing w:before="0" w:after="1"/>
              <w:ind w:left="0" w:right="0" w:hanging="0"/>
              <w:jc w:val="both"/>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46" w:type="dxa"/>
            <w:tcBorders/>
            <w:shd w:fill="CCEEFF" w:val="clear"/>
            <w:vAlign w:val="center"/>
          </w:tcPr>
          <w:p>
            <w:pPr>
              <w:pStyle w:val="TableContents"/>
              <w:bidi w:val="0"/>
              <w:spacing w:before="0" w:after="1"/>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6,824,128</w:t>
            </w:r>
          </w:p>
        </w:tc>
        <w:tc>
          <w:tcPr>
            <w:tcW w:w="346" w:type="dxa"/>
            <w:tcBorders/>
            <w:shd w:fill="CCEEFF" w:val="clear"/>
            <w:vAlign w:val="center"/>
          </w:tcPr>
          <w:p>
            <w:pPr>
              <w:pStyle w:val="TableContents"/>
              <w:bidi w:val="0"/>
              <w:spacing w:before="0" w:after="1"/>
              <w:ind w:left="0" w:right="0" w:hanging="0"/>
              <w:jc w:val="both"/>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5,740,511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51" w:name="Tc_PSNC0SeY8EeTHDteM7g4dA_13_5"/>
      <w:bookmarkStart w:id="552" w:name="Tc_lAhtm6uockygG7e0UChtmQ_13_2"/>
      <w:bookmarkStart w:id="553" w:name="Tc_m6ui2OoNqE-TBbYuVXCu2w_13_0"/>
      <w:bookmarkStart w:id="554" w:name="Tc_52iCcXaxX0aEva6stuX8iQ_12_6"/>
      <w:bookmarkStart w:id="555" w:name="Tc_n39JfoNtWEu_ko_lhdYR5A_12_0"/>
      <w:bookmarkStart w:id="556" w:name="Tc_JaIauaf5602fPJeHeAmGkA_11_0"/>
      <w:bookmarkStart w:id="557" w:name="Tc_0AZPiu9J6kiOHIBij-0QKQ_10_0"/>
      <w:bookmarkStart w:id="558" w:name="Tc_BJA4FqmnEUqHdsuDXPmsXw_9_0"/>
      <w:bookmarkStart w:id="559" w:name="Tc_AdSe4-uC-0qfDW-nX7C37Q_8_3"/>
      <w:bookmarkStart w:id="560" w:name="Tc_lhIhaGa-nUu8E-yxPKhJvg_8_0"/>
      <w:bookmarkStart w:id="561" w:name="Tc_j3zhaU7kYkKASRukrV5nsA_7_0"/>
      <w:bookmarkStart w:id="562" w:name="Tc_1vncYexu806scDjowFm7QQ_6_3"/>
      <w:bookmarkStart w:id="563" w:name="Tc_Ampe33-KGUytNkfIkHrnow_6_0"/>
      <w:bookmarkStart w:id="564" w:name="Tc_b0d8LRvVokmg6N0Oys_2rg_5_0"/>
      <w:bookmarkStart w:id="565" w:name="Tc_7IGmHd2a7UWAgBydcT975A_4_5"/>
      <w:bookmarkStart w:id="566" w:name="Tc_5LTxdKiKJ0eevoQ5vwcdUg_4_2"/>
      <w:bookmarkStart w:id="567" w:name="Tc_1Rd-xlfZ-Uu1vPrTUixaWA_4_0"/>
      <w:bookmarkStart w:id="568" w:name="Tc_DXJ2HwjJykSYvC5mhawYHA_3_0"/>
      <w:bookmarkStart w:id="569" w:name="Tc_uSL9LyXMMkmnH4fo4ZQ4UQ_2_5"/>
      <w:bookmarkStart w:id="570" w:name="Tc_DdbB05_jQ0-V8586xAri1g_2_2"/>
      <w:bookmarkStart w:id="571" w:name="Tc_zGVHsYMjOEaJu1_2AT4qsA_1_5"/>
      <w:bookmarkStart w:id="572" w:name="Tc_YYFYVhyIcUGBgt73y58reA_1_2"/>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rPr>
          <w:rFonts w:ascii="Times New Roman;Times;serif" w:hAnsi="Times New Roman;Times;serif"/>
          <w:b/>
          <w:sz w:val="20"/>
        </w:rPr>
        <w:t>NOTE 6: OTHER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Other receivable mainly consists of grant income receivable. Qualifying grant income earned in advance of cash received from grants is recognized as other income and recorded as other receivable. The following table summarizes the Company’s other receivable balance as of June 30, 2026 and December 31, 2025, respectively:</w:t>
      </w:r>
    </w:p>
    <w:p>
      <w:pPr>
        <w:pStyle w:val="TextBody"/>
        <w:bidi w:val="0"/>
        <w:spacing w:before="0" w:after="0"/>
        <w:ind w:left="0" w:right="0" w:hanging="0"/>
        <w:jc w:val="both"/>
        <w:rPr/>
      </w:pPr>
      <w:r>
        <w:rPr/>
        <w:t>​</w:t>
      </w:r>
    </w:p>
    <w:tbl>
      <w:tblPr>
        <w:tblW w:w="5632" w:type="dxa"/>
        <w:jc w:val="left"/>
        <w:tblInd w:w="0" w:type="dxa"/>
        <w:tblLayout w:type="fixed"/>
        <w:tblCellMar>
          <w:top w:w="0" w:type="dxa"/>
          <w:left w:w="0" w:type="dxa"/>
          <w:bottom w:w="0" w:type="dxa"/>
          <w:right w:w="0" w:type="dxa"/>
        </w:tblCellMar>
      </w:tblPr>
      <w:tblGrid>
        <w:gridCol w:w="2551"/>
        <w:gridCol w:w="346"/>
        <w:gridCol w:w="211"/>
        <w:gridCol w:w="931"/>
        <w:gridCol w:w="346"/>
        <w:gridCol w:w="211"/>
        <w:gridCol w:w="103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19885" cy="175260"/>
                      <wp:effectExtent l="0" t="0" r="0" b="0"/>
                      <wp:wrapNone/>
                      <wp:docPr id="110" name="Frame109"/>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91185" cy="175260"/>
                      <wp:effectExtent l="0" t="0" r="0" b="0"/>
                      <wp:wrapNone/>
                      <wp:docPr id="113"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6" name="Frame1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5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 receivable:</w:t>
            </w:r>
          </w:p>
        </w:tc>
        <w:tc>
          <w:tcPr>
            <w:tcW w:w="34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25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CPRIT AML Grant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1,311,557</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815,436</w:t>
            </w:r>
          </w:p>
        </w:tc>
      </w:tr>
      <w:tr>
        <w:trPr/>
        <w:tc>
          <w:tcPr>
            <w:tcW w:w="25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w:t>
            </w:r>
          </w:p>
        </w:tc>
      </w:tr>
      <w:tr>
        <w:trPr/>
        <w:tc>
          <w:tcPr>
            <w:tcW w:w="25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162,897</w:t>
            </w:r>
          </w:p>
        </w:tc>
      </w:tr>
      <w:tr>
        <w:trPr/>
        <w:tc>
          <w:tcPr>
            <w:tcW w:w="25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141,900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59,501</w:t>
            </w:r>
          </w:p>
        </w:tc>
      </w:tr>
      <w:tr>
        <w:trPr/>
        <w:tc>
          <w:tcPr>
            <w:tcW w:w="25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SBIR NHL Grant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87,417</w:t>
            </w:r>
          </w:p>
        </w:tc>
      </w:tr>
      <w:tr>
        <w:trPr/>
        <w:tc>
          <w:tcPr>
            <w:tcW w:w="25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PANACEA Grant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105,601</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190,052</w:t>
            </w:r>
          </w:p>
        </w:tc>
      </w:tr>
      <w:tr>
        <w:trPr/>
        <w:tc>
          <w:tcPr>
            <w:tcW w:w="25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grant income receivable</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1,579,113</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1,318,981</w:t>
            </w:r>
          </w:p>
        </w:tc>
      </w:tr>
      <w:tr>
        <w:trPr/>
        <w:tc>
          <w:tcPr>
            <w:tcW w:w="25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33,161</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50,419</w:t>
            </w:r>
          </w:p>
        </w:tc>
      </w:tr>
      <w:tr>
        <w:trPr/>
        <w:tc>
          <w:tcPr>
            <w:tcW w:w="25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7,203</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other receivable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1,619,477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1,369,400</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Refer to Note 3 for details related to awarded grants and Note 10 for more information on grant income.</w:t>
      </w:r>
    </w:p>
    <w:p>
      <w:pPr>
        <w:pStyle w:val="TextBody"/>
        <w:bidi w:val="0"/>
        <w:spacing w:before="0" w:after="240"/>
        <w:ind w:left="0" w:right="0" w:hanging="0"/>
        <w:jc w:val="left"/>
        <w:rPr>
          <w:rFonts w:ascii="Times New Roman;Times;serif" w:hAnsi="Times New Roman;Times;serif"/>
          <w:b/>
          <w:sz w:val="20"/>
        </w:rPr>
      </w:pPr>
      <w:bookmarkStart w:id="573" w:name="Tc_JD0pd2RctEqcfzjjeQPLjg_9_5"/>
      <w:bookmarkStart w:id="574" w:name="Tc_kNZureJ140O5CkRFksxoZA_9_2"/>
      <w:bookmarkStart w:id="575" w:name="Tc_mqEFLMdubkWUt8YwLsGaTQ_9_0"/>
      <w:bookmarkStart w:id="576" w:name="Tc_H-N0e4MyOkeeWc1A9HK2mQ_8_0"/>
      <w:bookmarkStart w:id="577" w:name="Tc_UzDvZYd4AEWs3u-qPz_-qQ_7_0"/>
      <w:bookmarkStart w:id="578" w:name="Tc_9fIqdihqj0W3HtIh6Sv2LQ_6_6"/>
      <w:bookmarkStart w:id="579" w:name="Tc_dKLejz5bK0OHyyohQ9CcwA_5_0"/>
      <w:bookmarkStart w:id="580" w:name="Tc_B3OL5zES4k-gE4Wgiy5bAg_4_0"/>
      <w:bookmarkStart w:id="581" w:name="Tc_gbMfbq1zYEy0m9Ap0pQ4LQ_3_5"/>
      <w:bookmarkStart w:id="582" w:name="Tc_CqDr6rsOdkya7MR0AMwZWg_3_2"/>
      <w:bookmarkStart w:id="583" w:name="Tc_aKN-F7Y4y0CuFOrzGy0QJA_3_0"/>
      <w:bookmarkStart w:id="584" w:name="Tc_cucaoYsmHUO6oTBSUdLJew_2_5"/>
      <w:bookmarkStart w:id="585" w:name="Tc_sFqgg4JNPkCc2ykeEAH38Q_2_2"/>
      <w:bookmarkStart w:id="586" w:name="Tc_nJh5Q_TPzEGCrvWIrBhjHA_1_5"/>
      <w:bookmarkStart w:id="587" w:name="Tc_U35ttE1XQU6qqcmWn8nvpQ_1_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r>
        <w:rPr>
          <w:rFonts w:ascii="Times New Roman;Times;serif" w:hAnsi="Times New Roman;Times;serif"/>
          <w:b/>
          <w:sz w:val="20"/>
        </w:rPr>
        <w:t>NOTE 7: ACCOUNTS PAYABLE, ACCRUED LIABILITIES AND RELATED PARTY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accrued liabilities, and related party payable consist of the following as of June 30, 2026 and December 31, 2025, respectively:</w:t>
      </w:r>
    </w:p>
    <w:p>
      <w:pPr>
        <w:pStyle w:val="TextBody"/>
        <w:bidi w:val="0"/>
        <w:spacing w:before="0" w:after="240"/>
        <w:ind w:left="0" w:right="0" w:hanging="0"/>
        <w:jc w:val="left"/>
        <w:rPr/>
      </w:pPr>
      <w:r>
        <w:rPr/>
        <w:t>​</w:t>
      </w:r>
    </w:p>
    <w:tbl>
      <w:tblPr>
        <w:tblW w:w="8737" w:type="dxa"/>
        <w:jc w:val="left"/>
        <w:tblInd w:w="0" w:type="dxa"/>
        <w:tblLayout w:type="fixed"/>
        <w:tblCellMar>
          <w:top w:w="0" w:type="dxa"/>
          <w:left w:w="0" w:type="dxa"/>
          <w:bottom w:w="0" w:type="dxa"/>
          <w:right w:w="0" w:type="dxa"/>
        </w:tblCellMar>
      </w:tblPr>
      <w:tblGrid>
        <w:gridCol w:w="5656"/>
        <w:gridCol w:w="346"/>
        <w:gridCol w:w="211"/>
        <w:gridCol w:w="931"/>
        <w:gridCol w:w="346"/>
        <w:gridCol w:w="211"/>
        <w:gridCol w:w="1036"/>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591560" cy="175260"/>
                      <wp:effectExtent l="0" t="0" r="0" b="0"/>
                      <wp:wrapNone/>
                      <wp:docPr id="117" name="Frame116"/>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120" name="Frame1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57860" cy="175260"/>
                      <wp:effectExtent l="0" t="0" r="0" b="0"/>
                      <wp:wrapNone/>
                      <wp:docPr id="123" name="Frame1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both"/>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5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585,039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793,727</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118,605</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87,083</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61,460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160,008</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804,795</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54,638</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54,638</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204,175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203,928</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accrued liabilities and related party payable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1,828,712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1,299,384</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$0.8 million related-party payable as of June 30, 2026, reflects amounts for outsourced product development and manufacturing services. See Note 12: Related Party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88" w:name="Tc_uTCt1Wx34kCjmHLD7kYtcQ_6_7"/>
      <w:bookmarkStart w:id="589" w:name="Tc_eAkG8MkeFUyycs9EaCVLuA_6_4"/>
      <w:bookmarkStart w:id="590" w:name="Tc_5LH6QJu3KUKaNKa4rZUm0g_6_2"/>
      <w:bookmarkStart w:id="591" w:name="Tc_Nkr07H_iX0iHqVl4XiZO-w_6_0"/>
      <w:bookmarkStart w:id="592" w:name="Tc_oaq_JAptp0m3IZj07nH18Q_5_7"/>
      <w:bookmarkStart w:id="593" w:name="Tc_T5SufFYRD0mPtvgAlb__JQ_5_4"/>
      <w:bookmarkStart w:id="594" w:name="Tc_sE04zsHdnUuw1JEo_bhenA_5_2"/>
      <w:bookmarkStart w:id="595" w:name="Tc_57qNNwUlG0qATVCKphBHFQ_5_0"/>
      <w:bookmarkStart w:id="596" w:name="Tc_AzgNL1uMj0uVMoT5MZKcvA_4_15"/>
      <w:bookmarkStart w:id="597" w:name="Tc_xPfvwSMOQUupJYViDMlC2g_4_13"/>
      <w:bookmarkStart w:id="598" w:name="Tc_4ObjZwhlLES9erqLcPqxXw_4_11"/>
      <w:bookmarkStart w:id="599" w:name="Tc_yMbTzFxROEGhHxy25o1jxQ_4_9"/>
      <w:bookmarkStart w:id="600" w:name="Tc_tEWjkKwzZkmMW6DO-7iEag_4_7"/>
      <w:bookmarkStart w:id="601" w:name="Tc_Qzv3kcQ4ckKcfSG2dknz4g_4_4"/>
      <w:bookmarkStart w:id="602" w:name="Tc_HJPHtDyb6kml9n_J4Dy1nA_4_2"/>
      <w:bookmarkStart w:id="603" w:name="Tc_OEAjAoALP0W5188Jl7ONVw_3_15"/>
      <w:bookmarkStart w:id="604" w:name="Tc_JHwAzoo2Gki80LrB72wwPA_3_11"/>
      <w:bookmarkStart w:id="605" w:name="Tc_qdNZhe91RkOXkeizEP2unA_3_9"/>
      <w:bookmarkStart w:id="606" w:name="Tc_-oO_e7NjoEmXUExexQ59aQ_3_7"/>
      <w:bookmarkStart w:id="607" w:name="Tc_IKL5nAkc90u-1da_qLXCIg_3_4"/>
      <w:bookmarkStart w:id="608" w:name="Tc_djcni6GIA0KVJbRPcBOZ9A_2_15"/>
      <w:bookmarkStart w:id="609" w:name="Tc_tffLZ2u_HU2eBUQG8XtbcQ_2_9"/>
      <w:bookmarkStart w:id="610" w:name="Tc_vFRDupQDK0Cj-blaUUC4tQ_2_4"/>
      <w:bookmarkStart w:id="611" w:name="Tc_SWvzWqfPOUCXAaf_tkdy2Q_1_15"/>
      <w:bookmarkStart w:id="612" w:name="Tc_aema086_xU63hB6vjpwqzg_1_9"/>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rFonts w:ascii="Times New Roman;Times;serif" w:hAnsi="Times New Roman;Times;serif"/>
          <w:b/>
          <w:sz w:val="20"/>
        </w:rPr>
        <w:t>NOTE 8: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Common Stock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 2026, the Company held its 2026 Annual Meeting of Stockholders, at which meeting the Company’s stockholders approved an amendment to the Company’s Certificate of Incorporation, as amended, to increase the number of authorized shares of our Common Stock from 30,000,000 shares of Common Stock to 130,000,000 shares of Common Stock. On May 4, 2026, the Company filed a Certificate of Amendment to its Certificate of Incorporation, increasing its authorized shares of Common Stock from 30,000,000 to 130,000,000.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warrants outstanding at June 30, 2026:</w:t>
      </w:r>
    </w:p>
    <w:p>
      <w:pPr>
        <w:pStyle w:val="TextBody"/>
        <w:bidi w:val="0"/>
        <w:spacing w:before="0" w:after="240"/>
        <w:ind w:left="0" w:right="0" w:hanging="0"/>
        <w:jc w:val="both"/>
        <w:rPr/>
      </w:pPr>
      <w:r>
        <w:rPr/>
        <w:t>​</w:t>
      </w:r>
    </w:p>
    <w:tbl>
      <w:tblPr>
        <w:tblW w:w="10246" w:type="dxa"/>
        <w:jc w:val="left"/>
        <w:tblInd w:w="0" w:type="dxa"/>
        <w:tblLayout w:type="fixed"/>
        <w:tblCellMar>
          <w:top w:w="0" w:type="dxa"/>
          <w:left w:w="0" w:type="dxa"/>
          <w:bottom w:w="0" w:type="dxa"/>
          <w:right w:w="0" w:type="dxa"/>
        </w:tblCellMar>
      </w:tblPr>
      <w:tblGrid>
        <w:gridCol w:w="1006"/>
        <w:gridCol w:w="346"/>
        <w:gridCol w:w="1381"/>
        <w:gridCol w:w="346"/>
        <w:gridCol w:w="211"/>
        <w:gridCol w:w="571"/>
        <w:gridCol w:w="346"/>
        <w:gridCol w:w="1051"/>
        <w:gridCol w:w="346"/>
        <w:gridCol w:w="1051"/>
        <w:gridCol w:w="346"/>
        <w:gridCol w:w="706"/>
        <w:gridCol w:w="346"/>
        <w:gridCol w:w="796"/>
        <w:gridCol w:w="346"/>
        <w:gridCol w:w="1051"/>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38810" cy="175260"/>
                      <wp:effectExtent l="0" t="0" r="0" b="0"/>
                      <wp:wrapNone/>
                      <wp:docPr id="124" name="Frame12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76935" cy="175260"/>
                      <wp:effectExtent l="0" t="0" r="0" b="0"/>
                      <wp:wrapNone/>
                      <wp:docPr id="126" name="Frame12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175260"/>
                      <wp:effectExtent l="0" t="0" r="0" b="0"/>
                      <wp:wrapNone/>
                      <wp:docPr id="129"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7385" cy="175260"/>
                      <wp:effectExtent l="0" t="0" r="0" b="0"/>
                      <wp:wrapNone/>
                      <wp:docPr id="131" name="Frame13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7385" cy="175260"/>
                      <wp:effectExtent l="0" t="0" r="0" b="0"/>
                      <wp:wrapNone/>
                      <wp:docPr id="133" name="Frame13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8310" cy="175260"/>
                      <wp:effectExtent l="0" t="0" r="0" b="0"/>
                      <wp:wrapNone/>
                      <wp:docPr id="135" name="Frame13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05460" cy="175260"/>
                      <wp:effectExtent l="0" t="0" r="0" b="0"/>
                      <wp:wrapNone/>
                      <wp:docPr id="137"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67385" cy="175260"/>
                      <wp:effectExtent l="0" t="0" r="0" b="0"/>
                      <wp:wrapNone/>
                      <wp:docPr id="139" name="Frame1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00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00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w:t>
            </w:r>
          </w:p>
        </w:tc>
        <w:tc>
          <w:tcPr>
            <w:tcW w:w="346" w:type="dxa"/>
            <w:tcBorders/>
            <w:vAlign w:val="center"/>
          </w:tcPr>
          <w:p>
            <w:pPr>
              <w:pStyle w:val="TableContents"/>
              <w:bidi w:val="0"/>
              <w:spacing w:before="0" w:after="1"/>
              <w:ind w:left="0" w:right="0" w:hanging="0"/>
              <w:jc w:val="both"/>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00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346" w:type="dxa"/>
            <w:tcBorders/>
            <w:vAlign w:val="center"/>
          </w:tcPr>
          <w:p>
            <w:pPr>
              <w:pStyle w:val="TableContents"/>
              <w:bidi w:val="0"/>
              <w:spacing w:before="0" w:after="1"/>
              <w:ind w:left="0" w:right="0" w:hanging="0"/>
              <w:jc w:val="both"/>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both"/>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both"/>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both"/>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46" w:type="dxa"/>
            <w:tcBorders/>
            <w:vAlign w:val="center"/>
          </w:tcPr>
          <w:p>
            <w:pPr>
              <w:pStyle w:val="TableContents"/>
              <w:bidi w:val="0"/>
              <w:spacing w:before="0" w:after="1"/>
              <w:ind w:left="0" w:right="0" w:hanging="0"/>
              <w:jc w:val="both"/>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Exercised</w:t>
            </w:r>
          </w:p>
        </w:tc>
        <w:tc>
          <w:tcPr>
            <w:tcW w:w="346" w:type="dxa"/>
            <w:tcBorders/>
            <w:vAlign w:val="center"/>
          </w:tcPr>
          <w:p>
            <w:pPr>
              <w:pStyle w:val="TableContents"/>
              <w:bidi w:val="0"/>
              <w:spacing w:before="0" w:after="1"/>
              <w:ind w:left="0" w:right="0" w:hanging="0"/>
              <w:jc w:val="both"/>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00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Private placement warrants</w:t>
            </w:r>
          </w:p>
        </w:tc>
        <w:tc>
          <w:tcPr>
            <w:tcW w:w="346" w:type="dxa"/>
            <w:tcBorders/>
            <w:shd w:fill="CCEEFF" w:val="clear"/>
            <w:vAlign w:val="center"/>
          </w:tcPr>
          <w:p>
            <w:pPr>
              <w:pStyle w:val="TableContents"/>
              <w:bidi w:val="0"/>
              <w:spacing w:before="0" w:after="1"/>
              <w:ind w:left="0" w:right="0" w:hanging="0"/>
              <w:jc w:val="both"/>
              <w:rPr/>
            </w:pPr>
            <w:r>
              <w:rPr/>
              <w:t> </w:t>
            </w:r>
          </w:p>
        </w:tc>
        <w:tc>
          <w:tcPr>
            <w:tcW w:w="13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December 2024</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years from shareholder approval</w:t>
            </w:r>
          </w:p>
        </w:tc>
        <w:tc>
          <w:tcPr>
            <w:tcW w:w="346"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c>
          <w:tcPr>
            <w:tcW w:w="346" w:type="dxa"/>
            <w:tcBorders/>
            <w:shd w:fill="CCEEFF" w:val="clear"/>
            <w:vAlign w:val="center"/>
          </w:tcPr>
          <w:p>
            <w:pPr>
              <w:pStyle w:val="TableContents"/>
              <w:bidi w:val="0"/>
              <w:spacing w:before="0" w:after="1"/>
              <w:ind w:left="0" w:right="0" w:hanging="0"/>
              <w:jc w:val="both"/>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r>
      <w:tr>
        <w:trPr/>
        <w:tc>
          <w:tcPr>
            <w:tcW w:w="100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Pre-funded warrants</w:t>
            </w:r>
          </w:p>
        </w:tc>
        <w:tc>
          <w:tcPr>
            <w:tcW w:w="346" w:type="dxa"/>
            <w:tcBorders/>
            <w:vAlign w:val="center"/>
          </w:tcPr>
          <w:p>
            <w:pPr>
              <w:pStyle w:val="TableContents"/>
              <w:bidi w:val="0"/>
              <w:spacing w:before="0" w:after="1"/>
              <w:ind w:left="0" w:right="0" w:hanging="0"/>
              <w:jc w:val="both"/>
              <w:rPr/>
            </w:pPr>
            <w:r>
              <w:rPr/>
              <w:t> </w:t>
            </w:r>
          </w:p>
        </w:tc>
        <w:tc>
          <w:tcPr>
            <w:tcW w:w="13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December 2024</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w:t>
            </w:r>
          </w:p>
        </w:tc>
        <w:tc>
          <w:tcPr>
            <w:tcW w:w="346"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years from shareholder approval</w:t>
            </w:r>
          </w:p>
        </w:tc>
        <w:tc>
          <w:tcPr>
            <w:tcW w:w="346" w:type="dxa"/>
            <w:tcBorders/>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2,641,615</w:t>
            </w:r>
          </w:p>
        </w:tc>
        <w:tc>
          <w:tcPr>
            <w:tcW w:w="346" w:type="dxa"/>
            <w:tcBorders/>
            <w:vAlign w:val="center"/>
          </w:tcPr>
          <w:p>
            <w:pPr>
              <w:pStyle w:val="TableContents"/>
              <w:bidi w:val="0"/>
              <w:spacing w:before="0" w:after="1"/>
              <w:ind w:left="0" w:right="0" w:hanging="0"/>
              <w:jc w:val="both"/>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2,641,615</w:t>
            </w:r>
          </w:p>
        </w:tc>
      </w:tr>
      <w:tr>
        <w:trPr/>
        <w:tc>
          <w:tcPr>
            <w:tcW w:w="100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381"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571"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7,672,865</w:t>
            </w:r>
          </w:p>
        </w:tc>
        <w:tc>
          <w:tcPr>
            <w:tcW w:w="346" w:type="dxa"/>
            <w:tcBorders/>
            <w:shd w:fill="CCEEFF" w:val="clear"/>
            <w:vAlign w:val="center"/>
          </w:tcPr>
          <w:p>
            <w:pPr>
              <w:pStyle w:val="TableContents"/>
              <w:bidi w:val="0"/>
              <w:spacing w:before="0" w:after="1"/>
              <w:ind w:left="0" w:right="0" w:hanging="0"/>
              <w:jc w:val="both"/>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7,672,865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13" w:name="Tc_2IgYKAZEnkGtQESM6ArLnQ_10_7"/>
      <w:bookmarkStart w:id="614" w:name="Tc_GzTHa2q7CEGoH7UfdCN9Qw_10_4"/>
      <w:bookmarkStart w:id="615" w:name="Tc_dra8RxppZ0O6_zf5ft3gvA_10_0"/>
      <w:bookmarkStart w:id="616" w:name="Tc_n6Zv6Dc4o0iM-TtrcLDaxA_9_7"/>
      <w:bookmarkStart w:id="617" w:name="Tc_fL1-O34z8ECqz58TKkX9Qg_9_4"/>
      <w:bookmarkStart w:id="618" w:name="Tc_SsmWbRtCOUeyznyfPZ5Npg_9_0"/>
      <w:bookmarkStart w:id="619" w:name="Tc_O6GTH4TqZkK-AZRKx2g7Dg_8_10"/>
      <w:bookmarkStart w:id="620" w:name="Tc_wheNbSEsE0e1bg5kjVKDPw_8_8"/>
      <w:bookmarkStart w:id="621" w:name="Tc_NmM7WEYOCEmcyspssjcIpQ_8_5"/>
      <w:bookmarkStart w:id="622" w:name="Tc_H48VybBX5kOkBF7TCV3nqA_8_2"/>
      <w:bookmarkStart w:id="623" w:name="Tc_dHUMLB3gMUSgH_1TA3RwFA_8_0"/>
      <w:bookmarkStart w:id="624" w:name="Tc_aNTfDLZsnU2gTPgU1-WeIw_7_10"/>
      <w:bookmarkStart w:id="625" w:name="Tc_Et2cN_9MrEq6Ks6nBGu2dg_7_8"/>
      <w:bookmarkStart w:id="626" w:name="Tc_N4R28UquekWJniA6-m_ZIQ_7_5"/>
      <w:bookmarkStart w:id="627" w:name="Tc_z9nOWg04dka91aOzZkrHWg_7_2"/>
      <w:bookmarkStart w:id="628" w:name="Tc_w0fg0jxc6kCGgLO6zNEuEA_7_0"/>
      <w:bookmarkStart w:id="629" w:name="Tc_e1yfff6M_0ShFiscHtVvpQ_6_8"/>
      <w:bookmarkStart w:id="630" w:name="Tc_Mjr5b1bJpUGBj1fqlms9tg_6_0"/>
      <w:bookmarkStart w:id="631" w:name="Tc_ZpKm48Fuk0qcUlGvE6kZnQ_5_7"/>
      <w:bookmarkStart w:id="632" w:name="Tc_Hd3TUGK8g0eTZwHiybD-hg_5_4"/>
      <w:bookmarkStart w:id="633" w:name="Tc__wmNI3dntECmUe6XcED6sA_5_0"/>
      <w:bookmarkStart w:id="634" w:name="Tc_Njy3V-LU5EaoTOmKTnIa3g_4_10"/>
      <w:bookmarkStart w:id="635" w:name="Tc_HC3DogPumkWxPuYGrVS_Kg_4_7"/>
      <w:bookmarkStart w:id="636" w:name="Tc_IApzOx7D_kyl5hr2ePl97Q_4_4"/>
      <w:bookmarkStart w:id="637" w:name="Tc_eY_ROAJtYkmmj8favMg6bQ_4_2"/>
      <w:bookmarkStart w:id="638" w:name="Tc_DzRDWUOrSUqiygDfeHxgMA_3_10"/>
      <w:bookmarkStart w:id="639" w:name="Tc_j5TXExNfqU2Yt8WIAJHdVw_3_4"/>
      <w:bookmarkStart w:id="640" w:name="Tc_CIaAY-dNUUGAhp6CfdneXA_2_10"/>
      <w:bookmarkStart w:id="641" w:name="Tc_qjeMWnWLIUi5pXPG_5qsXA_1_10"/>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Fonts w:ascii="Times New Roman;Times;serif" w:hAnsi="Times New Roman;Times;serif"/>
          <w:b/>
          <w:sz w:val="20"/>
        </w:rPr>
        <w:t>NOTE 9: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2026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9, 2026, pursuant to the Company’s 2020 Equity Incentive Plan, the Company granted equity-based incentive awards to two employees of 15,000 </w:t>
      </w:r>
      <w:r>
        <w:rPr>
          <w:rFonts w:ascii="Times New Roman;Times;serif" w:hAnsi="Times New Roman;Times;serif"/>
          <w:b w:val="false"/>
          <w:i w:val="false"/>
          <w:caps w:val="false"/>
          <w:smallCaps w:val="false"/>
          <w:sz w:val="20"/>
        </w:rPr>
        <w:t>options</w:t>
      </w:r>
      <w:r>
        <w:rPr>
          <w:rFonts w:ascii="Times New Roman;Times;serif" w:hAnsi="Times New Roman;Times;serif"/>
          <w:sz w:val="20"/>
        </w:rPr>
        <w:t xml:space="preserve"> each to purchase the Company’s common stock. Each award was granted with an exercise </w:t>
      </w:r>
      <w:r>
        <w:rPr>
          <w:rFonts w:ascii="Times New Roman;Times;serif" w:hAnsi="Times New Roman;Times;serif"/>
          <w:b w:val="false"/>
          <w:i w:val="false"/>
          <w:caps w:val="false"/>
          <w:smallCaps w:val="false"/>
          <w:sz w:val="20"/>
        </w:rPr>
        <w:t>price</w:t>
      </w:r>
      <w:r>
        <w:rPr>
          <w:rFonts w:ascii="Times New Roman;Times;serif" w:hAnsi="Times New Roman;Times;serif"/>
          <w:sz w:val="20"/>
        </w:rPr>
        <w:t xml:space="preserve"> of $1.41 per share, the closing price of the Company’s common stock on the Nasdaq Capital Market on June 9, 2026, with 50% of the shares vesting immediately upon the grant date and the remaining 50% vesting on the second anniversary of the grant date, subject to such Optionee’s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six months ended June 30, 2026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09"/>
        <w:gridCol w:w="346"/>
        <w:gridCol w:w="1411"/>
        <w:gridCol w:w="346"/>
        <w:gridCol w:w="405"/>
        <w:gridCol w:w="1096"/>
        <w:gridCol w:w="346"/>
        <w:gridCol w:w="318"/>
        <w:gridCol w:w="1179"/>
        <w:gridCol w:w="346"/>
        <w:gridCol w:w="1503"/>
      </w:tblGrid>
      <w:tr>
        <w:trPr/>
        <w:tc>
          <w:tcPr>
            <w:tcW w:w="2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47215" cy="175260"/>
                      <wp:effectExtent l="0" t="0" r="0" b="0"/>
                      <wp:wrapNone/>
                      <wp:docPr id="140" name="Frame139"/>
                      <a:graphic xmlns:a="http://schemas.openxmlformats.org/drawingml/2006/main">
                        <a:graphicData uri="http://schemas.microsoft.com/office/word/2010/wordprocessingShape">
                          <wps:wsp>
                            <wps:cNvSpPr txBox="1"/>
                            <wps:spPr>
                              <a:xfrm>
                                <a:off x="0" y="0"/>
                                <a:ext cx="18472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95985" cy="175260"/>
                      <wp:effectExtent l="0" t="0" r="0" b="0"/>
                      <wp:wrapNone/>
                      <wp:docPr id="142" name="Frame14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7175" cy="175260"/>
                      <wp:effectExtent l="0" t="0" r="0" b="0"/>
                      <wp:wrapNone/>
                      <wp:docPr id="144" name="Frame14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5960" cy="175260"/>
                      <wp:effectExtent l="0" t="0" r="0" b="0"/>
                      <wp:wrapNone/>
                      <wp:docPr id="145" name="Frame14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1930" cy="175260"/>
                      <wp:effectExtent l="0" t="0" r="0" b="0"/>
                      <wp:wrapNone/>
                      <wp:docPr id="147" name="Frame14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48665" cy="175260"/>
                      <wp:effectExtent l="0" t="0" r="0" b="0"/>
                      <wp:wrapNone/>
                      <wp:docPr id="148" name="Frame147"/>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54405" cy="175260"/>
                      <wp:effectExtent l="0" t="0" r="0" b="0"/>
                      <wp:wrapNone/>
                      <wp:docPr id="150" name="Frame149"/>
                      <a:graphic xmlns:a="http://schemas.openxmlformats.org/drawingml/2006/main">
                        <a:graphicData uri="http://schemas.microsoft.com/office/word/2010/wordprocessingShape">
                          <wps:wsp>
                            <wps:cNvSpPr txBox="1"/>
                            <wps:spPr>
                              <a:xfrm>
                                <a:off x="0" y="0"/>
                                <a:ext cx="9544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09"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  ​ ​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both"/>
              <w:rPr/>
            </w:pPr>
            <w:r>
              <w:rPr/>
              <w:t>​</w:t>
            </w:r>
          </w:p>
        </w:tc>
        <w:tc>
          <w:tcPr>
            <w:tcW w:w="117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  ​ ​ ​</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09"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both"/>
              <w:rPr/>
            </w:pPr>
            <w:r>
              <w:rPr/>
              <w:t>​</w:t>
            </w:r>
          </w:p>
        </w:tc>
        <w:tc>
          <w:tcPr>
            <w:tcW w:w="117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909"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both"/>
              <w:rPr/>
            </w:pPr>
            <w:r>
              <w:rPr/>
              <w:t>​</w:t>
            </w:r>
          </w:p>
        </w:tc>
        <w:tc>
          <w:tcPr>
            <w:tcW w:w="1179"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909"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both"/>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both"/>
              <w:rPr/>
            </w:pPr>
            <w:r>
              <w:rPr/>
              <w:t>  ​ ​ ​</w:t>
            </w:r>
          </w:p>
        </w:tc>
        <w:tc>
          <w:tcPr>
            <w:tcW w:w="14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46" w:type="dxa"/>
            <w:tcBorders/>
            <w:vAlign w:val="center"/>
          </w:tcPr>
          <w:p>
            <w:pPr>
              <w:pStyle w:val="TableContents"/>
              <w:bidi w:val="0"/>
              <w:spacing w:before="0" w:after="1"/>
              <w:ind w:left="0" w:right="0" w:hanging="0"/>
              <w:jc w:val="both"/>
              <w:rPr/>
            </w:pPr>
            <w:r>
              <w:rPr/>
              <w:t>  ​ ​ ​</w:t>
            </w:r>
          </w:p>
        </w:tc>
        <w:tc>
          <w:tcPr>
            <w:tcW w:w="15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90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1,762,878</w:t>
            </w:r>
          </w:p>
        </w:tc>
        <w:tc>
          <w:tcPr>
            <w:tcW w:w="34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563,368</w:t>
            </w:r>
          </w:p>
        </w:tc>
        <w:tc>
          <w:tcPr>
            <w:tcW w:w="346" w:type="dxa"/>
            <w:tcBorders/>
            <w:shd w:fill="CCEEFF" w:val="clear"/>
            <w:vAlign w:val="center"/>
          </w:tcPr>
          <w:p>
            <w:pPr>
              <w:pStyle w:val="TableContents"/>
              <w:bidi w:val="0"/>
              <w:spacing w:before="0" w:after="1"/>
              <w:ind w:left="0" w:right="0" w:hanging="0"/>
              <w:jc w:val="both"/>
              <w:rPr/>
            </w:pPr>
            <w:r>
              <w:rPr/>
              <w:t>​</w:t>
            </w:r>
          </w:p>
        </w:tc>
        <w:tc>
          <w:tcPr>
            <w:tcW w:w="1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90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both"/>
              <w:rPr/>
            </w:pPr>
            <w:r>
              <w:rPr/>
              <w:t>​</w:t>
            </w:r>
          </w:p>
        </w:tc>
        <w:tc>
          <w:tcPr>
            <w:tcW w:w="11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290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both"/>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both"/>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1503" w:type="dxa"/>
            <w:tcBorders/>
            <w:shd w:fill="CCEEFF" w:val="clear"/>
            <w:vAlign w:val="center"/>
          </w:tcPr>
          <w:p>
            <w:pPr>
              <w:pStyle w:val="TableContents"/>
              <w:bidi w:val="0"/>
              <w:spacing w:before="0" w:after="1"/>
              <w:ind w:left="0" w:right="0" w:hanging="0"/>
              <w:jc w:val="right"/>
              <w:rPr/>
            </w:pPr>
            <w:r>
              <w:rPr/>
              <w:t>—</w:t>
            </w:r>
          </w:p>
        </w:tc>
      </w:tr>
      <w:tr>
        <w:trPr/>
        <w:tc>
          <w:tcPr>
            <w:tcW w:w="290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4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1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0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1"/>
              <w:ind w:left="0" w:right="0" w:hanging="0"/>
              <w:jc w:val="both"/>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1,792,878</w:t>
            </w:r>
          </w:p>
        </w:tc>
        <w:tc>
          <w:tcPr>
            <w:tcW w:w="346" w:type="dxa"/>
            <w:tcBorders/>
            <w:shd w:fill="CCEEFF" w:val="clear"/>
            <w:vAlign w:val="center"/>
          </w:tcPr>
          <w:p>
            <w:pPr>
              <w:pStyle w:val="TableContents"/>
              <w:bidi w:val="0"/>
              <w:spacing w:before="0" w:after="1"/>
              <w:ind w:left="0" w:right="0" w:hanging="0"/>
              <w:jc w:val="both"/>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346" w:type="dxa"/>
            <w:tcBorders/>
            <w:shd w:fill="CCEEFF" w:val="clear"/>
            <w:vAlign w:val="center"/>
          </w:tcPr>
          <w:p>
            <w:pPr>
              <w:pStyle w:val="TableContents"/>
              <w:bidi w:val="0"/>
              <w:spacing w:before="0" w:after="1"/>
              <w:ind w:left="0" w:right="0" w:hanging="0"/>
              <w:jc w:val="righ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541,911</w:t>
            </w:r>
          </w:p>
        </w:tc>
        <w:tc>
          <w:tcPr>
            <w:tcW w:w="346" w:type="dxa"/>
            <w:tcBorders/>
            <w:shd w:fill="CCEEFF" w:val="clear"/>
            <w:vAlign w:val="center"/>
          </w:tcPr>
          <w:p>
            <w:pPr>
              <w:pStyle w:val="TableContents"/>
              <w:bidi w:val="0"/>
              <w:spacing w:before="0" w:after="1"/>
              <w:ind w:left="0" w:right="0" w:hanging="0"/>
              <w:jc w:val="both"/>
              <w:rPr/>
            </w:pPr>
            <w:r>
              <w:rPr/>
              <w:t>​</w:t>
            </w:r>
          </w:p>
        </w:tc>
        <w:tc>
          <w:tcPr>
            <w:tcW w:w="15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290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4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598,005</w:t>
            </w:r>
          </w:p>
        </w:tc>
        <w:tc>
          <w:tcPr>
            <w:tcW w:w="34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w:t>
            </w:r>
          </w:p>
        </w:tc>
        <w:tc>
          <w:tcPr>
            <w:tcW w:w="346"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20,469</w:t>
            </w:r>
          </w:p>
        </w:tc>
        <w:tc>
          <w:tcPr>
            <w:tcW w:w="34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642" w:name="Tc_XpkqwSNyU0Gk4rytQFfVRw_7_11"/>
      <w:bookmarkStart w:id="643" w:name="Tc_rfNoHAAgTUG_SLCEGBGMeg_7_8"/>
      <w:bookmarkStart w:id="644" w:name="Tc_-RFkrxcibU2IgSG0Y6-K_A_7_5"/>
      <w:bookmarkStart w:id="645" w:name="Tc_b4mWKe2AFUG_lp5M30Sp3w_7_2"/>
      <w:bookmarkStart w:id="646" w:name="Tc_gN-EX1VGPUmBRQ6B_9a0nQ_7_0"/>
      <w:bookmarkStart w:id="647" w:name="Tc_KsvBl2VsUkqnh7G3cri1Kw_6_0"/>
      <w:bookmarkStart w:id="648" w:name="Tc_QJLXww-RkkG_hqGbwCaoVw_5_11"/>
      <w:bookmarkStart w:id="649" w:name="Tc_WtFJD-Ty40qvHNf1vX9pvg_5_8"/>
      <w:bookmarkStart w:id="650" w:name="Tc_2vA3TM8_BEm5EiofYjMqtQ_5_5"/>
      <w:bookmarkStart w:id="651" w:name="Tc_ttW8oHKxlki-vdHX3DlOZw_5_2"/>
      <w:bookmarkStart w:id="652" w:name="Tc_Q2gcpkaAZkCwKpvepQR4HA_5_0"/>
      <w:bookmarkStart w:id="653" w:name="Tc_Sm2XbxxrSUCQB3OybG8shA_4_0"/>
      <w:bookmarkStart w:id="654" w:name="Tc_RZZdNlfV5kqeQWjYpqn0gQ_3_11"/>
      <w:bookmarkStart w:id="655" w:name="Tc_8m9Yr8S1JEasEbPUg_HDig_3_8"/>
      <w:bookmarkStart w:id="656" w:name="Tc_BFS_BZTZz0G94aoUXilfYw_3_5"/>
      <w:bookmarkStart w:id="657" w:name="Tc_epGFFzL6CUKqh7GqIsKxnA_3_2"/>
      <w:bookmarkStart w:id="658" w:name="Tc_A8jEmTDU3ECpTTyy-LeIKA_2_8"/>
      <w:bookmarkStart w:id="659" w:name="Tc_aJtYdXLnhE-qpE6xe8Ft4A_2_2"/>
      <w:bookmarkStart w:id="660" w:name="Tc__LnvNE3E70-3ZwxQCcW98g_1_8"/>
      <w:bookmarkStart w:id="661" w:name="Tc_nfPlstMvhE67nWNr3MGJFg_1_2"/>
      <w:bookmarkStart w:id="662" w:name="Tc_gfBFhzDCrUuaP12gPu_Xcw_7_4"/>
      <w:bookmarkStart w:id="663" w:name="Tc_bQd5saQXpEu7g2weNx2yZQ_7_3"/>
      <w:bookmarkStart w:id="664" w:name="Tc_nTFw8837TEmLE4ediCH0QA_7_0"/>
      <w:bookmarkStart w:id="665" w:name="Tc_VAxZTG0kA0mvvhv1BqZ6hw_6_4"/>
      <w:bookmarkStart w:id="666" w:name="Tc_anNsrMN4b0yJ_ZKHxDZD9g_6_0"/>
      <w:bookmarkStart w:id="667" w:name="Tc_30bWwYrHJ0OyMdjGUMSY_w_5_4"/>
      <w:bookmarkStart w:id="668" w:name="Tc_qCdn9-qWBUa00OvbZ_yVIA_5_0"/>
      <w:bookmarkStart w:id="669" w:name="Tc_KMx7BGyzckOQ1U80TP8naQ_4_0"/>
      <w:bookmarkStart w:id="670" w:name="Tc_jzaN2LiGt0qXXSqRS4UY4Q_3_2"/>
      <w:bookmarkStart w:id="671" w:name="Tc_l3kl71Vvy02ruduKRJdnVQ_3_0"/>
      <w:bookmarkStart w:id="672" w:name="Tc_xgifRo-_g0GzD2tJEt-y0A_2_2"/>
      <w:bookmarkStart w:id="673" w:name="Tc_e-aYIMXVW0-K0Wcv9E6XnA_1_2"/>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rFonts w:ascii="Times New Roman;Times;serif" w:hAnsi="Times New Roman;Times;serif"/>
          <w:sz w:val="20"/>
        </w:rPr>
        <w:t>The Black-Scholes option pricing model is used to estimate the fair value of stock options granted under the Company’s share-based compensation plans. The weighted average assumptions used in calculating the fair values of stock options that were granted during the six months ended June 30, 2026 were as follows:</w:t>
      </w:r>
    </w:p>
    <w:p>
      <w:pPr>
        <w:pStyle w:val="TextBody"/>
        <w:bidi w:val="0"/>
        <w:spacing w:before="0" w:after="240"/>
        <w:ind w:left="0" w:right="0" w:hanging="0"/>
        <w:jc w:val="left"/>
        <w:rPr/>
      </w:pPr>
      <w:r>
        <w:rPr/>
        <w:t>​</w:t>
      </w:r>
    </w:p>
    <w:tbl>
      <w:tblPr>
        <w:tblW w:w="4909" w:type="dxa"/>
        <w:jc w:val="left"/>
        <w:tblInd w:w="0" w:type="dxa"/>
        <w:tblLayout w:type="fixed"/>
        <w:tblCellMar>
          <w:top w:w="0" w:type="dxa"/>
          <w:left w:w="0" w:type="dxa"/>
          <w:bottom w:w="0" w:type="dxa"/>
          <w:right w:w="0" w:type="dxa"/>
        </w:tblCellMar>
      </w:tblPr>
      <w:tblGrid>
        <w:gridCol w:w="2626"/>
        <w:gridCol w:w="346"/>
        <w:gridCol w:w="385"/>
        <w:gridCol w:w="1236"/>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67510" cy="175260"/>
                      <wp:effectExtent l="0" t="0" r="0" b="0"/>
                      <wp:wrapNone/>
                      <wp:docPr id="151" name="Frame15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44475" cy="175260"/>
                      <wp:effectExtent l="0" t="0" r="0" b="0"/>
                      <wp:wrapNone/>
                      <wp:docPr id="153" name="Frame15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84860" cy="175260"/>
                      <wp:effectExtent l="0" t="0" r="0" b="0"/>
                      <wp:wrapNone/>
                      <wp:docPr id="154" name="Frame153"/>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0660" cy="175260"/>
                      <wp:effectExtent l="0" t="0" r="0" b="0"/>
                      <wp:wrapNone/>
                      <wp:docPr id="155" name="Frame1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center"/>
              <w:rPr/>
            </w:pPr>
            <w:r>
              <w:rPr/>
              <w:t>  ​ ​ ​</w:t>
            </w:r>
          </w:p>
        </w:tc>
        <w:tc>
          <w:tcPr>
            <w:tcW w:w="16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16" w:type="dxa"/>
            <w:tcBorders/>
            <w:vAlign w:val="center"/>
          </w:tcPr>
          <w:p>
            <w:pPr>
              <w:pStyle w:val="TableContents"/>
              <w:bidi w:val="0"/>
              <w:spacing w:before="0" w:after="1"/>
              <w:ind w:left="0" w:right="0" w:hanging="0"/>
              <w:jc w:val="both"/>
              <w:rPr/>
            </w:pPr>
            <w:r>
              <w:rPr/>
              <w:t> </w:t>
            </w:r>
          </w:p>
        </w:tc>
      </w:tr>
      <w:tr>
        <w:trPr/>
        <w:tc>
          <w:tcPr>
            <w:tcW w:w="262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center"/>
              <w:rPr/>
            </w:pPr>
            <w:r>
              <w:rPr/>
              <w:t>​</w:t>
            </w:r>
          </w:p>
        </w:tc>
        <w:tc>
          <w:tcPr>
            <w:tcW w:w="16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2026</w:t>
            </w:r>
          </w:p>
        </w:tc>
        <w:tc>
          <w:tcPr>
            <w:tcW w:w="316" w:type="dxa"/>
            <w:tcBorders/>
            <w:vAlign w:val="center"/>
          </w:tcPr>
          <w:p>
            <w:pPr>
              <w:pStyle w:val="TableContents"/>
              <w:bidi w:val="0"/>
              <w:spacing w:before="0" w:after="1"/>
              <w:ind w:left="0" w:right="0" w:hanging="0"/>
              <w:jc w:val="both"/>
              <w:rPr/>
            </w:pPr>
            <w:r>
              <w:rPr/>
              <w:t> </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both"/>
              <w:rPr/>
            </w:pPr>
            <w:r>
              <w:rPr/>
              <w:t>​</w:t>
            </w:r>
          </w:p>
        </w:tc>
        <w:tc>
          <w:tcPr>
            <w:tcW w:w="38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16" w:type="dxa"/>
            <w:tcBorders/>
            <w:shd w:fill="CCEEFF" w:val="clear"/>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term (years)</w:t>
            </w:r>
          </w:p>
        </w:tc>
        <w:tc>
          <w:tcPr>
            <w:tcW w:w="346" w:type="dxa"/>
            <w:tcBorders/>
            <w:vAlign w:val="center"/>
          </w:tcPr>
          <w:p>
            <w:pPr>
              <w:pStyle w:val="TableContents"/>
              <w:bidi w:val="0"/>
              <w:spacing w:before="0" w:after="1"/>
              <w:ind w:left="0" w:right="0" w:hanging="0"/>
              <w:jc w:val="both"/>
              <w:rPr/>
            </w:pPr>
            <w:r>
              <w:rPr/>
              <w:t>​</w:t>
            </w:r>
          </w:p>
        </w:tc>
        <w:tc>
          <w:tcPr>
            <w:tcW w:w="385" w:type="dxa"/>
            <w:tcBorders/>
            <w:vAlign w:val="center"/>
          </w:tcPr>
          <w:p>
            <w:pPr>
              <w:pStyle w:val="TableContents"/>
              <w:bidi w:val="0"/>
              <w:spacing w:before="0" w:after="1"/>
              <w:ind w:left="0" w:right="0" w:hanging="0"/>
              <w:jc w:val="both"/>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stock price volatility</w:t>
            </w:r>
          </w:p>
        </w:tc>
        <w:tc>
          <w:tcPr>
            <w:tcW w:w="346" w:type="dxa"/>
            <w:tcBorders/>
            <w:shd w:fill="CCEEFF" w:val="clear"/>
            <w:vAlign w:val="center"/>
          </w:tcPr>
          <w:p>
            <w:pPr>
              <w:pStyle w:val="TableContents"/>
              <w:bidi w:val="0"/>
              <w:spacing w:before="0" w:after="1"/>
              <w:ind w:left="0" w:right="0" w:hanging="0"/>
              <w:jc w:val="both"/>
              <w:rPr/>
            </w:pPr>
            <w:r>
              <w:rPr/>
              <w:t>​</w:t>
            </w:r>
          </w:p>
        </w:tc>
        <w:tc>
          <w:tcPr>
            <w:tcW w:w="385" w:type="dxa"/>
            <w:tcBorders/>
            <w:shd w:fill="CCEEFF" w:val="clear"/>
            <w:vAlign w:val="center"/>
          </w:tcPr>
          <w:p>
            <w:pPr>
              <w:pStyle w:val="TableContents"/>
              <w:bidi w:val="0"/>
              <w:spacing w:before="0" w:after="1"/>
              <w:ind w:left="0" w:right="0" w:hanging="0"/>
              <w:jc w:val="both"/>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106.89</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Risk-free rate of interest</w:t>
            </w:r>
          </w:p>
        </w:tc>
        <w:tc>
          <w:tcPr>
            <w:tcW w:w="346" w:type="dxa"/>
            <w:tcBorders/>
            <w:vAlign w:val="center"/>
          </w:tcPr>
          <w:p>
            <w:pPr>
              <w:pStyle w:val="TableContents"/>
              <w:bidi w:val="0"/>
              <w:spacing w:before="0" w:after="1"/>
              <w:ind w:left="0" w:right="0" w:hanging="0"/>
              <w:jc w:val="both"/>
              <w:rPr/>
            </w:pPr>
            <w:r>
              <w:rPr/>
              <w:t>​</w:t>
            </w:r>
          </w:p>
        </w:tc>
        <w:tc>
          <w:tcPr>
            <w:tcW w:w="385" w:type="dxa"/>
            <w:tcBorders/>
            <w:vAlign w:val="center"/>
          </w:tcPr>
          <w:p>
            <w:pPr>
              <w:pStyle w:val="TableContents"/>
              <w:bidi w:val="0"/>
              <w:spacing w:before="0" w:after="1"/>
              <w:ind w:left="0" w:right="0" w:hanging="0"/>
              <w:jc w:val="both"/>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dividend rate</w:t>
            </w:r>
          </w:p>
        </w:tc>
        <w:tc>
          <w:tcPr>
            <w:tcW w:w="346" w:type="dxa"/>
            <w:tcBorders/>
            <w:shd w:fill="CCEEFF" w:val="clear"/>
            <w:vAlign w:val="center"/>
          </w:tcPr>
          <w:p>
            <w:pPr>
              <w:pStyle w:val="TableContents"/>
              <w:bidi w:val="0"/>
              <w:spacing w:before="0" w:after="1"/>
              <w:ind w:left="0" w:right="0" w:hanging="0"/>
              <w:jc w:val="both"/>
              <w:rPr/>
            </w:pPr>
            <w:r>
              <w:rPr/>
              <w:t>​</w:t>
            </w:r>
          </w:p>
        </w:tc>
        <w:tc>
          <w:tcPr>
            <w:tcW w:w="385" w:type="dxa"/>
            <w:tcBorders/>
            <w:shd w:fill="CCEEFF" w:val="clear"/>
            <w:vAlign w:val="center"/>
          </w:tcPr>
          <w:p>
            <w:pPr>
              <w:pStyle w:val="TableContents"/>
              <w:bidi w:val="0"/>
              <w:spacing w:before="0" w:after="1"/>
              <w:ind w:left="0" w:right="0" w:hanging="0"/>
              <w:jc w:val="both"/>
              <w:rPr/>
            </w:pPr>
            <w:r>
              <w:rPr/>
              <w:t> </w:t>
            </w:r>
          </w:p>
        </w:tc>
        <w:tc>
          <w:tcPr>
            <w:tcW w:w="123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8362" w:type="dxa"/>
        <w:jc w:val="left"/>
        <w:tblInd w:w="0" w:type="dxa"/>
        <w:tblLayout w:type="fixed"/>
        <w:tblCellMar>
          <w:top w:w="0" w:type="dxa"/>
          <w:left w:w="0" w:type="dxa"/>
          <w:bottom w:w="0" w:type="dxa"/>
          <w:right w:w="0" w:type="dxa"/>
        </w:tblCellMar>
      </w:tblPr>
      <w:tblGrid>
        <w:gridCol w:w="3001"/>
        <w:gridCol w:w="346"/>
        <w:gridCol w:w="212"/>
        <w:gridCol w:w="784"/>
        <w:gridCol w:w="347"/>
        <w:gridCol w:w="212"/>
        <w:gridCol w:w="679"/>
        <w:gridCol w:w="346"/>
        <w:gridCol w:w="211"/>
        <w:gridCol w:w="781"/>
        <w:gridCol w:w="34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905635" cy="175260"/>
                      <wp:effectExtent l="0" t="0" r="0" b="0"/>
                      <wp:wrapNone/>
                      <wp:docPr id="156" name="Frame155"/>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4620" cy="175260"/>
                      <wp:effectExtent l="0" t="0" r="0" b="0"/>
                      <wp:wrapNone/>
                      <wp:docPr id="158" name="Frame15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7840" cy="175260"/>
                      <wp:effectExtent l="0" t="0" r="0" b="0"/>
                      <wp:wrapNone/>
                      <wp:docPr id="159" name="Frame15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0345" cy="175260"/>
                      <wp:effectExtent l="0" t="0" r="0" b="0"/>
                      <wp:wrapNone/>
                      <wp:docPr id="160" name="Frame15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4620" cy="175260"/>
                      <wp:effectExtent l="0" t="0" r="0" b="0"/>
                      <wp:wrapNone/>
                      <wp:docPr id="161" name="Frame16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1165" cy="175260"/>
                      <wp:effectExtent l="0" t="0" r="0" b="0"/>
                      <wp:wrapNone/>
                      <wp:docPr id="162" name="Frame161"/>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5"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62610" cy="175260"/>
                      <wp:effectExtent l="0" t="0" r="0" b="0"/>
                      <wp:wrapNone/>
                      <wp:docPr id="168" name="Frame1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223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both"/>
              <w:rPr/>
            </w:pPr>
            <w:r>
              <w:rPr/>
              <w:t> </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0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2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both"/>
              <w:rPr/>
            </w:pPr>
            <w:r>
              <w:rPr/>
              <w:t> </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0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7" w:type="dxa"/>
            <w:tcBorders/>
            <w:vAlign w:val="center"/>
          </w:tcPr>
          <w:p>
            <w:pPr>
              <w:pStyle w:val="TableContents"/>
              <w:bidi w:val="0"/>
              <w:spacing w:before="0" w:after="1"/>
              <w:ind w:left="0" w:right="0" w:hanging="0"/>
              <w:jc w:val="both"/>
              <w:rPr/>
            </w:pPr>
            <w:r>
              <w:rPr/>
              <w:t>  ​ ​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both"/>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46" w:type="dxa"/>
            <w:tcBorders/>
            <w:shd w:fill="CCEEFF" w:val="clear"/>
            <w:vAlign w:val="center"/>
          </w:tcPr>
          <w:p>
            <w:pPr>
              <w:pStyle w:val="TableContents"/>
              <w:bidi w:val="0"/>
              <w:spacing w:before="0" w:after="1"/>
              <w:ind w:left="0" w:right="0" w:hanging="0"/>
              <w:jc w:val="both"/>
              <w:rPr/>
            </w:pPr>
            <w:r>
              <w:rPr/>
              <w:t> </w:t>
            </w:r>
          </w:p>
        </w:tc>
        <w:tc>
          <w:tcPr>
            <w:tcW w:w="212" w:type="dxa"/>
            <w:tcBorders/>
            <w:shd w:fill="CCEEFF" w:val="clear"/>
            <w:vAlign w:val="center"/>
          </w:tcPr>
          <w:p>
            <w:pPr>
              <w:pStyle w:val="TableContents"/>
              <w:bidi w:val="0"/>
              <w:spacing w:before="0" w:after="1"/>
              <w:ind w:left="0" w:right="0" w:hanging="0"/>
              <w:jc w:val="both"/>
              <w:rPr/>
            </w:pPr>
            <w:r>
              <w:rPr/>
              <w:t>​</w:t>
            </w:r>
          </w:p>
        </w:tc>
        <w:tc>
          <w:tcPr>
            <w:tcW w:w="784" w:type="dxa"/>
            <w:tcBorders/>
            <w:shd w:fill="CCEEFF" w:val="clear"/>
            <w:vAlign w:val="center"/>
          </w:tcPr>
          <w:p>
            <w:pPr>
              <w:pStyle w:val="TableContents"/>
              <w:bidi w:val="0"/>
              <w:spacing w:before="0" w:after="1"/>
              <w:ind w:left="0" w:right="0" w:hanging="0"/>
              <w:jc w:val="right"/>
              <w:rPr/>
            </w:pPr>
            <w:r>
              <w:rPr/>
              <w:t>  ​</w:t>
            </w:r>
          </w:p>
        </w:tc>
        <w:tc>
          <w:tcPr>
            <w:tcW w:w="347" w:type="dxa"/>
            <w:tcBorders/>
            <w:shd w:fill="CCEEFF" w:val="clear"/>
            <w:vAlign w:val="center"/>
          </w:tcPr>
          <w:p>
            <w:pPr>
              <w:pStyle w:val="TableContents"/>
              <w:bidi w:val="0"/>
              <w:spacing w:before="0" w:after="1"/>
              <w:ind w:left="0" w:right="0" w:hanging="0"/>
              <w:jc w:val="both"/>
              <w:rPr/>
            </w:pPr>
            <w:r>
              <w:rPr/>
              <w:t> </w:t>
            </w:r>
          </w:p>
        </w:tc>
        <w:tc>
          <w:tcPr>
            <w:tcW w:w="212" w:type="dxa"/>
            <w:tcBorders/>
            <w:shd w:fill="CCEEFF" w:val="clear"/>
            <w:vAlign w:val="center"/>
          </w:tcPr>
          <w:p>
            <w:pPr>
              <w:pStyle w:val="TableContents"/>
              <w:bidi w:val="0"/>
              <w:spacing w:before="0" w:after="1"/>
              <w:ind w:left="0" w:right="0" w:hanging="0"/>
              <w:jc w:val="both"/>
              <w:rPr/>
            </w:pPr>
            <w:r>
              <w:rPr/>
              <w:t>​</w:t>
            </w:r>
          </w:p>
        </w:tc>
        <w:tc>
          <w:tcPr>
            <w:tcW w:w="6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both"/>
              <w:rPr/>
            </w:pPr>
            <w:r>
              <w:rPr/>
              <w:t>​</w:t>
            </w:r>
          </w:p>
        </w:tc>
        <w:tc>
          <w:tcPr>
            <w:tcW w:w="21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47" w:type="dxa"/>
            <w:tcBorders/>
            <w:vAlign w:val="center"/>
          </w:tcPr>
          <w:p>
            <w:pPr>
              <w:pStyle w:val="TableContents"/>
              <w:bidi w:val="0"/>
              <w:spacing w:before="0" w:after="1"/>
              <w:ind w:left="0" w:right="0" w:hanging="0"/>
              <w:jc w:val="both"/>
              <w:rPr/>
            </w:pPr>
            <w:r>
              <w:rPr/>
              <w:t>​</w:t>
            </w:r>
          </w:p>
        </w:tc>
        <w:tc>
          <w:tcPr>
            <w:tcW w:w="21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307,137</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195,392</w:t>
            </w:r>
          </w:p>
        </w:tc>
        <w:tc>
          <w:tcPr>
            <w:tcW w:w="347" w:type="dxa"/>
            <w:tcBorders/>
            <w:shd w:fill="CCEEFF" w:val="clear"/>
            <w:vAlign w:val="center"/>
          </w:tcPr>
          <w:p>
            <w:pPr>
              <w:pStyle w:val="TableContents"/>
              <w:bidi w:val="0"/>
              <w:spacing w:before="0" w:after="1"/>
              <w:ind w:left="0" w:right="0" w:hanging="0"/>
              <w:jc w:val="both"/>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12,358</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373,359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85,993</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46" w:type="dxa"/>
            <w:tcBorders/>
            <w:vAlign w:val="center"/>
          </w:tcPr>
          <w:p>
            <w:pPr>
              <w:pStyle w:val="TableContents"/>
              <w:bidi w:val="0"/>
              <w:spacing w:before="0" w:after="1"/>
              <w:ind w:left="0" w:right="0" w:hanging="0"/>
              <w:jc w:val="both"/>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195,735</w:t>
            </w:r>
          </w:p>
        </w:tc>
        <w:tc>
          <w:tcPr>
            <w:tcW w:w="347" w:type="dxa"/>
            <w:tcBorders/>
            <w:vAlign w:val="center"/>
          </w:tcPr>
          <w:p>
            <w:pPr>
              <w:pStyle w:val="TableContents"/>
              <w:bidi w:val="0"/>
              <w:spacing w:before="0" w:after="1"/>
              <w:ind w:left="0" w:right="0" w:hanging="0"/>
              <w:jc w:val="both"/>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13,986</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374,157</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393,130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total stock-based compensation cost related to unvested awards not yet recognized was $0.6 million. The expected weighted average period for compensation costs to be recognized was approximately 1.6 years. Future option grants will impact the compensation expense recognized.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similar modifications of stock options during the three or six months ended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4" w:name="Tc_l67MHuRryE2Ml4GMhqyzZw_11_11"/>
      <w:bookmarkStart w:id="675" w:name="Tc_sX07CSbvDU6tSaRd417LvQ_11_8"/>
      <w:bookmarkStart w:id="676" w:name="Tc_9QqKACk6wEm9v56NH8U_lQ_11_5"/>
      <w:bookmarkStart w:id="677" w:name="Tc_1mGFqlLGFEGGr6B_Q3f8jQ_11_2"/>
      <w:bookmarkStart w:id="678" w:name="Tc_uryGeSltakCqKMHNqALOEw_11_0"/>
      <w:bookmarkStart w:id="679" w:name="Tc_w0laz_Q4M0iVcfQ375NBeQ_10_0"/>
      <w:bookmarkStart w:id="680" w:name="Tc_0ERIRJRZr0OTIKL2Ab4K5Q_9_0"/>
      <w:bookmarkStart w:id="681" w:name="Tc_reswVX8dT06VINeV0qreYw_8_0"/>
      <w:bookmarkStart w:id="682" w:name="Tc_J3EYVOsdfEW1-pEo355d_w_7_3"/>
      <w:bookmarkStart w:id="683" w:name="Tc_qHoG_iRm00uJAoQ3YcIuRw_7_0"/>
      <w:bookmarkStart w:id="684" w:name="Tc_W-myQu4FtEOqDol78t9SGg_6_0"/>
      <w:bookmarkStart w:id="685" w:name="Tc_BdrCqqODdE6QShNtTB9GLA_5_11"/>
      <w:bookmarkStart w:id="686" w:name="Tc_E5gd6GyXnU-Bpz-41qORnQ_5_8"/>
      <w:bookmarkStart w:id="687" w:name="Tc_E7G2YnSJHUqerf97c-erFA_5_5"/>
      <w:bookmarkStart w:id="688" w:name="Tc_jsCUZDbjlk6VA4Te2KiOlw_5_2"/>
      <w:bookmarkStart w:id="689" w:name="Tc_Y5FUfC4jbUK0Y5T5wBBu_w_5_0"/>
      <w:bookmarkStart w:id="690" w:name="Tc_QMH75sRAPkWjEOFgpTLzXQ_4_0"/>
      <w:bookmarkStart w:id="691" w:name="Tc_KwW8BtqZRke9LA05FKfVZw_3_11"/>
      <w:bookmarkStart w:id="692" w:name="Tc_irI0Y1J_aE2QsniysOoVPQ_3_8"/>
      <w:bookmarkStart w:id="693" w:name="Tc_sRBmOVHuJ0WrIJVQtzKkLg_3_5"/>
      <w:bookmarkStart w:id="694" w:name="Tc_vPHLXd8KGEyBTZp52aQoLg_3_2"/>
      <w:bookmarkStart w:id="695" w:name="Tc_5PZGgzSVHUiMVr0tovN7HQ_2_8"/>
      <w:bookmarkStart w:id="696" w:name="Tc_MjV5VCXuAECQgL_MCadKYg_2_2"/>
      <w:bookmarkStart w:id="697" w:name="Tc_seBT_GpazE-tXXtExG9Hpw_1_8"/>
      <w:bookmarkStart w:id="698" w:name="Tc_Gk9WOIhtE0alqGQur-u6Ug_1_2"/>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ascii="Times New Roman;Times;serif" w:hAnsi="Times New Roman;Times;serif"/>
          <w:b/>
          <w:sz w:val="20"/>
        </w:rPr>
        <w:t>NOTE 10: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restricted cash is received from grants in advance of incurring qualifying costs, it is recorded as deferred grant income and recognized as other income when qualifying costs are incurred. The Company had $0.6 million and $1.0 million of restricted cash recorded as of June 30, 2026 and December 31,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grant income recorded for the three and six months ended June 30, 2026 and 2025, by grant:</w:t>
      </w:r>
    </w:p>
    <w:p>
      <w:pPr>
        <w:pStyle w:val="TextBody"/>
        <w:bidi w:val="0"/>
        <w:spacing w:before="0" w:after="0"/>
        <w:ind w:left="0" w:right="0" w:hanging="0"/>
        <w:jc w:val="both"/>
        <w:rPr/>
      </w:pPr>
      <w:r>
        <w:rPr/>
        <w:t>​</w:t>
      </w:r>
    </w:p>
    <w:tbl>
      <w:tblPr>
        <w:tblW w:w="7888" w:type="dxa"/>
        <w:jc w:val="left"/>
        <w:tblInd w:w="0" w:type="dxa"/>
        <w:tblLayout w:type="fixed"/>
        <w:tblCellMar>
          <w:top w:w="0" w:type="dxa"/>
          <w:left w:w="0" w:type="dxa"/>
          <w:bottom w:w="0" w:type="dxa"/>
          <w:right w:w="0" w:type="dxa"/>
        </w:tblCellMar>
      </w:tblPr>
      <w:tblGrid>
        <w:gridCol w:w="2131"/>
        <w:gridCol w:w="346"/>
        <w:gridCol w:w="211"/>
        <w:gridCol w:w="781"/>
        <w:gridCol w:w="346"/>
        <w:gridCol w:w="211"/>
        <w:gridCol w:w="781"/>
        <w:gridCol w:w="346"/>
        <w:gridCol w:w="211"/>
        <w:gridCol w:w="931"/>
        <w:gridCol w:w="346"/>
        <w:gridCol w:w="211"/>
        <w:gridCol w:w="103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53185" cy="175260"/>
                      <wp:effectExtent l="0" t="0" r="0" b="0"/>
                      <wp:wrapNone/>
                      <wp:docPr id="169" name="Frame16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5935" cy="175260"/>
                      <wp:effectExtent l="0" t="0" r="0" b="0"/>
                      <wp:wrapNone/>
                      <wp:docPr id="172" name="Frame1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5" name="Frame1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1185" cy="175260"/>
                      <wp:effectExtent l="0" t="0" r="0" b="0"/>
                      <wp:wrapNone/>
                      <wp:docPr id="178" name="Frame1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57860" cy="175260"/>
                      <wp:effectExtent l="0" t="0" r="0" b="0"/>
                      <wp:wrapNone/>
                      <wp:docPr id="181" name="Frame1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center"/>
              <w:rPr/>
            </w:pPr>
            <w:r>
              <w:rPr/>
              <w:t>  ​ ​ ​</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131"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CPRIT AML Grant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256,890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319,610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465,399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537,254</w:t>
            </w:r>
          </w:p>
        </w:tc>
      </w:tr>
      <w:tr>
        <w:trPr/>
        <w:tc>
          <w:tcPr>
            <w:tcW w:w="21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104,461</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108,317</w:t>
            </w:r>
          </w:p>
        </w:tc>
      </w:tr>
      <w:tr>
        <w:trPr/>
        <w:tc>
          <w:tcPr>
            <w:tcW w:w="21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167,206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189,076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265,840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203,291</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PANACEA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105,601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179,079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61,147</w:t>
            </w:r>
          </w:p>
        </w:tc>
      </w:tr>
      <w:tr>
        <w:trPr/>
        <w:tc>
          <w:tcPr>
            <w:tcW w:w="213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CPRIT Pancreatic Grant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131,827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183,275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383,490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195,818</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grant income</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681,579</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861,184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1,433,270</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1,210,288</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(1) Both CPRIT grants are subject to certain revenue-sharing arrangements, as per the grant agreements (see Note 11).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qualifying grant income is earned in advance of cash received from grants, it is recognized as other income and recorded as other receivable (see Note 6).</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Cancer Prevention and Research Institute of Texas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Cancer Prevention &amp; Research Institute of Texas (“CPRIT”) to support the Company’s clinical investigation of MT-401 (the “CPRIT AML Grant”). In December 2024, the Company received notice of an additional $9.5 million grant from CPRIT to support the clinical investigation of MT-601 in patients with pancreatic cancer (“the CPRIT Pancreatic Grant”). Both CPRIT grants contain identical terms surrounding intellectual property and revenue sharing.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License Agreement with the Baylor College of Medicine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legal proceedings that we believe could have a material adverse effect on our business, operating results or financial condition.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IRS Penalties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received notification from the Internal Revenue Service (“IRS”) relating to the failure to timely file certain Form 5500 filings associated with its 401-K Plan for certain plan years between 2020 and 2024. The notices assess penalties and related interest totaling approximately $0.5 million.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intends to pursue available administrative remedies, including requests for penalty abatement and/or appeals, which could result in a reduction or elimination of the assessed amounts. In accordance with ASC 450, </w:t>
      </w:r>
      <w:r>
        <w:rPr>
          <w:rFonts w:ascii="Times New Roman;Times;serif" w:hAnsi="Times New Roman;Times;serif"/>
          <w:i/>
          <w:sz w:val="20"/>
        </w:rPr>
        <w:t>Contingencies</w:t>
      </w:r>
      <w:r>
        <w:rPr>
          <w:rFonts w:ascii="Times New Roman;Times;serif" w:hAnsi="Times New Roman;Times;serif"/>
          <w:sz w:val="20"/>
        </w:rPr>
        <w:t>, management evaluated the matter and concluded that payment of the full assessed amount was not probable as of June 30, 2026. While a loss may ultimately be incurred upon resolution of the matter, the amount of any such loss is not reasonably estimable as of June 30, 2026. Accordingly, no liability has been recorded in the accompanying condensed consolidated financial statements as of June 30, 2026 related to this matter. The Company will continue to monitor the status of this matter, including the outcome of any abatement requests or appeals, and will reassess its conclusions under ASC 450 as additional information becomes available.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9" w:name="Tc_7qTR-Nx5YUuFO9zZhPXNuQ_7_11"/>
      <w:bookmarkStart w:id="700" w:name="Tc_wLyVws_6gkyE5DOvs3KGtw_7_8"/>
      <w:bookmarkStart w:id="701" w:name="Tc_BSdwLFfDwEuyhfCgLSirHQ_7_5"/>
      <w:bookmarkStart w:id="702" w:name="Tc_Znix1B6010-mXmylhgUgCg_7_2"/>
      <w:bookmarkStart w:id="703" w:name="Tc_y3GASMST80-0cDgsQ6RneA_7_0"/>
      <w:bookmarkStart w:id="704" w:name="Tc_Py_MJBjpP02OtCF9Qn-1Bw_6_9"/>
      <w:bookmarkStart w:id="705" w:name="Tc_lFd0tYnPvEKjaem5Sykt9Q_6_3"/>
      <w:bookmarkStart w:id="706" w:name="Tc_KwysAG8s_0un1vfoxNNJtg_6_0"/>
      <w:bookmarkStart w:id="707" w:name="Tc_i_Iuey5jhEmAF-6aY-ZnDQ_5_9"/>
      <w:bookmarkStart w:id="708" w:name="Tc_bDCRqrsnOkqdFN2itgr9LQ_5_3"/>
      <w:bookmarkStart w:id="709" w:name="Tc_unUC7VaOREK_Mc8ZeVHfug_5_0"/>
      <w:bookmarkStart w:id="710" w:name="Tc_bVZd5MyBOEObRon5YnXgnw_4_11"/>
      <w:bookmarkStart w:id="711" w:name="Tc_S6YCUeVV0UG8fYPXxZDsEg_4_8"/>
      <w:bookmarkStart w:id="712" w:name="Tc_pNs-lBZPn0mKRDYesQ3ukw_4_5"/>
      <w:bookmarkStart w:id="713" w:name="Tc_rFOqwEBMb0G9XnyC-_8QlA_4_2"/>
      <w:bookmarkStart w:id="714" w:name="Tc_Kc101w7Rr0y31g1gcZlftA_4_0"/>
      <w:bookmarkStart w:id="715" w:name="Tc_pGJhK7tYIkOSJLIwvVGvtA_3_11"/>
      <w:bookmarkStart w:id="716" w:name="Tc_J6Q1fL6xVEqCwnj_NJE7Mw_3_8"/>
      <w:bookmarkStart w:id="717" w:name="Tc_sJ8cny3XZU25xRjzx9Y4Qw_3_5"/>
      <w:bookmarkStart w:id="718" w:name="Tc_ZpcdQGRrX0Ktn1ZjYH57XQ_3_2"/>
      <w:bookmarkStart w:id="719" w:name="Tc_udTA6WwWAEGyzHii7Gx2Ig_2_8"/>
      <w:bookmarkStart w:id="720" w:name="Tc_s2S9r2NKHk6AN8xoWnNq4w_2_2"/>
      <w:bookmarkStart w:id="721" w:name="Tc___TixKC88kWrxx8pN9We5w_1_8"/>
      <w:bookmarkStart w:id="722" w:name="Tc_Xvc1DiKeFk2QQlwm3NL5FQ_1_2"/>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b/>
          <w:sz w:val="20"/>
        </w:rPr>
        <w:t>NOTE 12: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and six months ended June 30, 2026 and 2025, respectively.</w:t>
      </w:r>
    </w:p>
    <w:p>
      <w:pPr>
        <w:pStyle w:val="TextBody"/>
        <w:bidi w:val="0"/>
        <w:spacing w:before="0" w:after="0"/>
        <w:ind w:left="0" w:right="0" w:hanging="0"/>
        <w:jc w:val="both"/>
        <w:rPr/>
      </w:pPr>
      <w:r>
        <w:rPr/>
        <w:t>​</w:t>
      </w:r>
    </w:p>
    <w:tbl>
      <w:tblPr>
        <w:tblW w:w="9358" w:type="dxa"/>
        <w:jc w:val="left"/>
        <w:tblInd w:w="0" w:type="dxa"/>
        <w:tblLayout w:type="fixed"/>
        <w:tblCellMar>
          <w:top w:w="0" w:type="dxa"/>
          <w:left w:w="0" w:type="dxa"/>
          <w:bottom w:w="0" w:type="dxa"/>
          <w:right w:w="0" w:type="dxa"/>
        </w:tblCellMar>
      </w:tblPr>
      <w:tblGrid>
        <w:gridCol w:w="3451"/>
        <w:gridCol w:w="346"/>
        <w:gridCol w:w="211"/>
        <w:gridCol w:w="781"/>
        <w:gridCol w:w="346"/>
        <w:gridCol w:w="211"/>
        <w:gridCol w:w="931"/>
        <w:gridCol w:w="346"/>
        <w:gridCol w:w="211"/>
        <w:gridCol w:w="931"/>
        <w:gridCol w:w="34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1385" cy="175260"/>
                      <wp:effectExtent l="0" t="0" r="0" b="0"/>
                      <wp:wrapNone/>
                      <wp:docPr id="182" name="Frame18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95935" cy="175260"/>
                      <wp:effectExtent l="0" t="0" r="0" b="0"/>
                      <wp:wrapNone/>
                      <wp:docPr id="185"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91185" cy="175260"/>
                      <wp:effectExtent l="0" t="0" r="0" b="0"/>
                      <wp:wrapNone/>
                      <wp:docPr id="188" name="Frame1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91185" cy="175260"/>
                      <wp:effectExtent l="0" t="0" r="0" b="0"/>
                      <wp:wrapNone/>
                      <wp:docPr id="191" name="Frame1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57860" cy="175260"/>
                      <wp:effectExtent l="0" t="0" r="0" b="0"/>
                      <wp:wrapNone/>
                      <wp:docPr id="194" name="Frame1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4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both"/>
              <w:rPr/>
            </w:pPr>
            <w:r>
              <w:rPr/>
              <w:t> </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5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4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both"/>
              <w:rPr/>
            </w:pPr>
            <w:r>
              <w:rPr/>
              <w:t> </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both"/>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450,525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1,868,019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1,560,736</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2,487,862</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Cell Ready</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63,248</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1,079,552</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20,808</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49,940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450,525</w:t>
            </w:r>
          </w:p>
        </w:tc>
        <w:tc>
          <w:tcPr>
            <w:tcW w:w="34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1,952,075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1,560,736</w:t>
            </w:r>
          </w:p>
        </w:tc>
        <w:tc>
          <w:tcPr>
            <w:tcW w:w="34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3,617,354</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a related party payable of $0.8 million. See Note 7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2018, January 2020 and February 2020, the Company entered in Sponsored Research Agreements with BCM, which provided for the conduct of research for the Company by credentialed personnel at BCM’s Center for Cell and Gene Therapy. On April 1, 2025, the Company signed Amendment #1 to the Sponsored Research and Product Development Agreement with BCM to perform research on “Controlling Tumor Immune Escape in Pancreatic Cancer using a Dual T-Cell Product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into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and Laboratory Service Agreement with BCM, pursuant to which BCM conducts clinical trials for the Company and testing of Marker’s product candidates to develop an optimized potency assay.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is also a shareholder of the Company’s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incurred $0.5 million and $1.6 million in expenses related to services and manufacturing costs and paid BCM nil and approximately $1.1 million for invoices received. During the three and six months ended June 30, 2025, the Company incurred $1.9 million and $2.5 million in expenses related to services and manufacturing costs and paid BCM approximately $1.8 million and $1.9 million for invoices received,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2026, the Company received notice of a $4.2 million grant from the U.S. Department of War (previously Department of Defense) to support the clinical investigation of MT-601 in relapsed/refractory large B-cell lymphoma (“LBCL”) (the “DoW Grant”).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23" w:name="Item2ManagementsDiscussionandAnalysisofF"/>
      <w:bookmarkStart w:id="724" w:name="_df96ab7c_27c6_4d0e_94a3_12711444e94f"/>
      <w:bookmarkEnd w:id="723"/>
      <w:bookmarkEnd w:id="72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MAR-T cell therapy from Baylor College of Medicine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continuing to advance two product candidates for 3 clinical indications as part of our MAR-T cell program for:</w:t>
      </w:r>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MAR-T cell product candidate for the treatment of lymphoma and pancreatic cancer (MT-601)</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candidate in various indications (e.g., MT-401-OTS in AML or MDS)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MAR-T cells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immune effector cell-associated neurotoxicity syndrome (ICANS) or other severe adverse effects (SAEs), were attributed to the use of MAR-T cells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 selective expansion of tumor-specific T cells from a patient’s or donor’s blood capable of recognizing a broad range of tumor antigens→ no risk of mutagenesis and reduced manufacturing complexity → lower cost</w:t>
            </w:r>
          </w:p>
        </w:tc>
      </w:tr>
    </w:tbl>
    <w:p>
      <w:pPr>
        <w:pStyle w:val="TextBody"/>
        <w:bidi w:val="0"/>
        <w:spacing w:before="0" w:after="240"/>
        <w:ind w:left="0" w:right="0" w:hanging="0"/>
        <w:jc w:val="center"/>
        <w:rPr/>
      </w:pPr>
      <w:r>
        <w:rPr/>
        <w:drawing>
          <wp:inline distT="0" distB="0" distL="0" distR="0">
            <wp:extent cx="6504940" cy="1581150"/>
            <wp:effectExtent l="0" t="0" r="0" b="0"/>
            <wp:docPr id="19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2" descr=""/>
                    <pic:cNvPicPr>
                      <a:picLocks noChangeAspect="1" noChangeArrowheads="1"/>
                    </pic:cNvPicPr>
                  </pic:nvPicPr>
                  <pic:blipFill>
                    <a:blip r:embed="rId3"/>
                    <a:stretch>
                      <a:fillRect/>
                    </a:stretch>
                  </pic:blipFill>
                  <pic:spPr bwMode="auto">
                    <a:xfrm>
                      <a:off x="0" y="0"/>
                      <a:ext cx="6504940" cy="158115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these reasons, we believe our endogenous T cell receptor-based therapies may provide meaningful clinical benefit and safety to patients with both hematological and solid tumors.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MAR-T cell recognition of cancer targets. For example, we are assessing the potential of combining MAR-T cell products with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2025, we issued a press release providing an update on the progress and clinical observations from the Phase 1 APOLLO study, with a data cutoff date of June 2025. Our Phase 1 APOLLO study is investigating MT-601, a MAR-T cell product, in patients with lymphoma who have relapsed after anti-CD19 chimeric antigen receptor (CAR) T cell therapy or for whom anti-CD19 CAR-T cells are not an option. In this update, clinical data was available for a total of 24 B-cell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380990" cy="2675890"/>
            <wp:effectExtent l="0" t="0" r="0" b="0"/>
            <wp:docPr id="1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 descr=""/>
                    <pic:cNvPicPr>
                      <a:picLocks noChangeAspect="1" noChangeArrowheads="1"/>
                    </pic:cNvPicPr>
                  </pic:nvPicPr>
                  <pic:blipFill>
                    <a:blip r:embed="rId4"/>
                    <a:stretch>
                      <a:fillRect/>
                    </a:stretch>
                  </pic:blipFill>
                  <pic:spPr bwMode="auto">
                    <a:xfrm>
                      <a:off x="0" y="0"/>
                      <a:ext cx="5380990" cy="2675890"/>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Mr. John Wilson, is a contract development and manufacturing organization (CDMO). The MSA contains customary representations, warranties and indemnification provision. The initial term of the MSA is three years and may be extended upon the mutual written agreement of the parties. On March 27, 2025, we mutually agreed with Cell Ready to terminate the MSA. In connection therewith, we and Cell Ready entered into a settlement and release agreement pursuant to which we paid Cell Ready approximately $453,000 and we and Cell Ready provided one another with mutual releases of all claims associated with any and all agreements between Marker and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there is no guarantee that we will have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4, 2026, the Company filed a Certificate of Amendment to its Certificate of Incorporation, increasing its authorized shares of Common Stock from 30,000,000 to 130,000,000.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July 2026, the Company received notice of a $4.2 million grant from the U.S. Department of War (previously Department of Defense) to support the clinical investigation of MT-601 in relapsed/refractory large B-cell lymphoma (“LBCL”) (the “DoW Grant”).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three months ended June 30, 2026 and 2025:</w:t>
      </w:r>
    </w:p>
    <w:tbl>
      <w:tblPr>
        <w:tblW w:w="8142" w:type="dxa"/>
        <w:jc w:val="left"/>
        <w:tblInd w:w="0" w:type="dxa"/>
        <w:tblLayout w:type="fixed"/>
        <w:tblCellMar>
          <w:top w:w="0" w:type="dxa"/>
          <w:left w:w="0" w:type="dxa"/>
          <w:bottom w:w="0" w:type="dxa"/>
          <w:right w:w="0" w:type="dxa"/>
        </w:tblCellMar>
      </w:tblPr>
      <w:tblGrid>
        <w:gridCol w:w="2311"/>
        <w:gridCol w:w="346"/>
        <w:gridCol w:w="211"/>
        <w:gridCol w:w="1051"/>
        <w:gridCol w:w="346"/>
        <w:gridCol w:w="1051"/>
        <w:gridCol w:w="346"/>
        <w:gridCol w:w="211"/>
        <w:gridCol w:w="1051"/>
        <w:gridCol w:w="346"/>
        <w:gridCol w:w="541"/>
        <w:gridCol w:w="33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67485" cy="175260"/>
                      <wp:effectExtent l="0" t="0" r="0" b="0"/>
                      <wp:wrapNone/>
                      <wp:docPr id="197" name="Frame19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67385" cy="175260"/>
                      <wp:effectExtent l="0" t="0" r="0" b="0"/>
                      <wp:wrapNone/>
                      <wp:docPr id="200" name="Frame19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67385" cy="175260"/>
                      <wp:effectExtent l="0" t="0" r="0" b="0"/>
                      <wp:wrapNone/>
                      <wp:docPr id="202" name="Frame19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67385" cy="175260"/>
                      <wp:effectExtent l="0" t="0" r="0" b="0"/>
                      <wp:wrapNone/>
                      <wp:docPr id="205" name="Frame20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43535" cy="175260"/>
                      <wp:effectExtent l="0" t="0" r="0" b="0"/>
                      <wp:wrapNone/>
                      <wp:docPr id="207" name="Frame20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0185" cy="175260"/>
                      <wp:effectExtent l="0" t="0" r="0" b="0"/>
                      <wp:wrapNone/>
                      <wp:docPr id="208" name="Frame20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265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541" w:type="dxa"/>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6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both"/>
              <w:rPr/>
            </w:pPr>
            <w:r>
              <w:rPr/>
              <w:t>  ​ ​ ​</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31" w:type="dxa"/>
            <w:tcBorders/>
            <w:vAlign w:val="center"/>
          </w:tcPr>
          <w:p>
            <w:pPr>
              <w:pStyle w:val="TableContents"/>
              <w:bidi w:val="0"/>
              <w:spacing w:before="0" w:after="0"/>
              <w:ind w:left="0" w:right="0" w:hanging="0"/>
              <w:jc w:val="center"/>
              <w:rPr/>
            </w:pPr>
            <w:r>
              <w:rPr/>
              <w:t> </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31" w:type="dxa"/>
            <w:tcBorders/>
            <w:shd w:fill="CCEEFF" w:val="clear"/>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1,476,161</w:t>
            </w:r>
          </w:p>
        </w:tc>
        <w:tc>
          <w:tcPr>
            <w:tcW w:w="346"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4,177,054</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(2,700,893)</w:t>
            </w:r>
          </w:p>
        </w:tc>
        <w:tc>
          <w:tcPr>
            <w:tcW w:w="346" w:type="dxa"/>
            <w:tcBorders/>
            <w:vAlign w:val="center"/>
          </w:tcPr>
          <w:p>
            <w:pPr>
              <w:pStyle w:val="TableContents"/>
              <w:bidi w:val="0"/>
              <w:spacing w:before="0" w:after="0"/>
              <w:ind w:left="0" w:right="0" w:hanging="0"/>
              <w:jc w:val="both"/>
              <w:rPr/>
            </w:pPr>
            <w:r>
              <w:rPr/>
              <w:t>  ​ ​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1,144,205</w:t>
            </w:r>
          </w:p>
        </w:tc>
        <w:tc>
          <w:tcPr>
            <w:tcW w:w="346" w:type="dxa"/>
            <w:tcBorders/>
            <w:shd w:fill="CCEEFF" w:val="cle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945,163</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199,042</w:t>
            </w:r>
          </w:p>
        </w:tc>
        <w:tc>
          <w:tcPr>
            <w:tcW w:w="346" w:type="dxa"/>
            <w:tcBorders/>
            <w:shd w:fill="CCEEFF" w:val="clear"/>
            <w:vAlign w:val="center"/>
          </w:tcPr>
          <w:p>
            <w:pPr>
              <w:pStyle w:val="TableContents"/>
              <w:bidi w:val="0"/>
              <w:spacing w:before="0" w:after="0"/>
              <w:ind w:left="0" w:right="0" w:hanging="0"/>
              <w:jc w:val="both"/>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2,620,366</w:t>
            </w:r>
          </w:p>
        </w:tc>
        <w:tc>
          <w:tcPr>
            <w:tcW w:w="346" w:type="dxa"/>
            <w:tcBorders/>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5,122,217</w:t>
            </w:r>
          </w:p>
        </w:tc>
        <w:tc>
          <w:tcPr>
            <w:tcW w:w="34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(2,501,851)</w:t>
            </w:r>
          </w:p>
        </w:tc>
        <w:tc>
          <w:tcPr>
            <w:tcW w:w="346" w:type="dxa"/>
            <w:tcBorders/>
            <w:vAlign w:val="center"/>
          </w:tcPr>
          <w:p>
            <w:pPr>
              <w:pStyle w:val="TableContents"/>
              <w:bidi w:val="0"/>
              <w:spacing w:before="0" w:after="0"/>
              <w:ind w:left="0" w:right="0" w:hanging="0"/>
              <w:jc w:val="both"/>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(2,620,366)</w:t>
            </w:r>
          </w:p>
        </w:tc>
        <w:tc>
          <w:tcPr>
            <w:tcW w:w="346"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(5,122,217)</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2,501,851</w:t>
            </w:r>
          </w:p>
        </w:tc>
        <w:tc>
          <w:tcPr>
            <w:tcW w:w="346" w:type="dxa"/>
            <w:tcBorders/>
            <w:shd w:fill="CCEEFF" w:val="clear"/>
            <w:vAlign w:val="center"/>
          </w:tcPr>
          <w:p>
            <w:pPr>
              <w:pStyle w:val="TableContents"/>
              <w:bidi w:val="0"/>
              <w:spacing w:before="0" w:after="0"/>
              <w:ind w:left="0" w:right="0" w:hanging="0"/>
              <w:jc w:val="both"/>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 </w:t>
            </w:r>
          </w:p>
        </w:tc>
        <w:tc>
          <w:tcPr>
            <w:tcW w:w="54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both"/>
              <w:rPr/>
            </w:pPr>
            <w:r>
              <w:rPr/>
              <w:t>​</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Grant income </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681,579</w:t>
            </w:r>
          </w:p>
        </w:tc>
        <w:tc>
          <w:tcPr>
            <w:tcW w:w="346"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861,184</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(179,605)</w:t>
            </w:r>
          </w:p>
        </w:tc>
        <w:tc>
          <w:tcPr>
            <w:tcW w:w="346" w:type="dxa"/>
            <w:tcBorders/>
            <w:shd w:fill="CCEEFF" w:val="clear"/>
            <w:vAlign w:val="center"/>
          </w:tcPr>
          <w:p>
            <w:pPr>
              <w:pStyle w:val="TableContents"/>
              <w:bidi w:val="0"/>
              <w:spacing w:before="0" w:after="0"/>
              <w:ind w:left="0" w:right="0" w:hanging="0"/>
              <w:jc w:val="both"/>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112,558</w:t>
            </w:r>
          </w:p>
        </w:tc>
        <w:tc>
          <w:tcPr>
            <w:tcW w:w="346"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128,025</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(15,467)</w:t>
            </w:r>
          </w:p>
        </w:tc>
        <w:tc>
          <w:tcPr>
            <w:tcW w:w="346" w:type="dxa"/>
            <w:tcBorders/>
            <w:vAlign w:val="center"/>
          </w:tcPr>
          <w:p>
            <w:pPr>
              <w:pStyle w:val="TableContents"/>
              <w:bidi w:val="0"/>
              <w:spacing w:before="0" w:after="0"/>
              <w:ind w:left="0" w:right="0" w:hanging="0"/>
              <w:jc w:val="both"/>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shd w:fill="CCEEFF" w:val="clear"/>
            <w:vAlign w:val="center"/>
          </w:tcPr>
          <w:p>
            <w:pPr>
              <w:pStyle w:val="TableContents"/>
              <w:bidi w:val="0"/>
              <w:spacing w:before="0" w:after="0"/>
              <w:ind w:left="0" w:right="0" w:hanging="0"/>
              <w:jc w:val="both"/>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loss </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(1,826,229)</w:t>
            </w:r>
          </w:p>
        </w:tc>
        <w:tc>
          <w:tcPr>
            <w:tcW w:w="346" w:type="dxa"/>
            <w:tcBorders/>
            <w:vAlign w:val="center"/>
          </w:tcPr>
          <w:p>
            <w:pPr>
              <w:pStyle w:val="TableContents"/>
              <w:bidi w:val="0"/>
              <w:spacing w:before="0" w:after="0"/>
              <w:ind w:left="0" w:right="0" w:hanging="0"/>
              <w:jc w:val="both"/>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(4,015,564)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2,189,335</w:t>
            </w:r>
          </w:p>
        </w:tc>
        <w:tc>
          <w:tcPr>
            <w:tcW w:w="346" w:type="dxa"/>
            <w:tcBorders/>
            <w:vAlign w:val="center"/>
          </w:tcPr>
          <w:p>
            <w:pPr>
              <w:pStyle w:val="TableContents"/>
              <w:bidi w:val="0"/>
              <w:spacing w:before="0" w:after="0"/>
              <w:ind w:left="0" w:right="0" w:hanging="0"/>
              <w:jc w:val="both"/>
              <w:rPr/>
            </w:pPr>
            <w:r>
              <w:rPr/>
              <w:t> </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31"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incurred during the three months ended June 30, 2026 were $2.6 million compared to $5.1 million during the same period ended June 30, 2025. Significant changes and expenditures in operating expenses are outlined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65% to $1.5 million for the three months ended June 30, 2026, compared to $4.2 million for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$2.7 million in 2026 was primarily attributable to the following:</w:t>
      </w:r>
    </w:p>
    <w:p>
      <w:pPr>
        <w:pStyle w:val="TextBody"/>
        <w:bidi w:val="0"/>
        <w:spacing w:before="0" w:after="240"/>
        <w:ind w:left="360" w:right="0" w:hanging="0"/>
        <w:jc w:val="left"/>
        <w:rPr/>
      </w:pPr>
      <w:r>
        <w:rPr>
          <w:caps w:val="false"/>
          <w:smallCaps w:val="false"/>
        </w:rPr>
        <w:t>●</w:t>
      </w:r>
      <w:r>
        <w:rPr>
          <w:rFonts w:ascii="Times New Roman;Times;serif" w:hAnsi="Times New Roman;Times;serif"/>
          <w:sz w:val="20"/>
        </w:rPr>
        <w:t xml:space="preserve">decrease of $2.3 million in clinical trial expenses, </w:t>
      </w:r>
    </w:p>
    <w:p>
      <w:pPr>
        <w:pStyle w:val="TextBody"/>
        <w:bidi w:val="0"/>
        <w:spacing w:before="0" w:after="240"/>
        <w:ind w:left="360" w:right="0" w:hanging="0"/>
        <w:jc w:val="left"/>
        <w:rPr/>
      </w:pPr>
      <w:r>
        <w:rPr>
          <w:caps w:val="false"/>
          <w:smallCaps w:val="false"/>
        </w:rPr>
        <w:t>●</w:t>
      </w:r>
      <w:r>
        <w:rPr>
          <w:rFonts w:ascii="Times New Roman;Times;serif" w:hAnsi="Times New Roman;Times;serif"/>
          <w:sz w:val="20"/>
        </w:rPr>
        <w:t>decrease of $0.3 million in clinical consulting expenses, and</w:t>
      </w:r>
    </w:p>
    <w:p>
      <w:pPr>
        <w:pStyle w:val="TextBody"/>
        <w:bidi w:val="0"/>
        <w:spacing w:before="0" w:after="240"/>
        <w:ind w:left="360" w:right="0" w:hanging="0"/>
        <w:jc w:val="left"/>
        <w:rPr/>
      </w:pPr>
      <w:r>
        <w:rPr>
          <w:caps w:val="false"/>
          <w:smallCaps w:val="false"/>
        </w:rPr>
        <w:t>●</w:t>
      </w:r>
      <w:r>
        <w:rPr>
          <w:rFonts w:ascii="Times New Roman;Times;serif" w:hAnsi="Times New Roman;Times;serif"/>
          <w:sz w:val="20"/>
        </w:rPr>
        <w:t>decrease of $0.1 million in other clinical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increased by 21% to $1.1 million for the three months ended June 30, 2026, compared to $0.9 million during the same period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$0.2 million in 2026 was primarily attributable to headcount-related expenses, including stock-based compensation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we had been awarded a $2.0 million grant from the FDA’s Orphan Products Grant program to support the clinical investigation of MT-401 for the treatment of AML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we received notice of a $2.0 million grant over a 2-year period from the National Institutes of Health SBIR program to support control over tumor immune escape in pancreatic cancer using a dual T cell product strategy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notice of an additional $2.0 million grant from the NIH SBIR program to support the clinical investigation of MT-601 in patients with non-Hodgkin’s lymphoma (“NHL”) who have relapsed following anti-CD19 chimeric antigen receptor (“CAR”) T cell therapy (the “SBIR NHL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another $2.0 million grant from the National Institutes of Health SBIR Program to support the advancement of MT-601 in patients with pancreatic cancer (the “PANACEA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we received notice an additional $9.5 million grant from CPRIT to support the clinical investigation of MT-601 in patients with metastatic pancreatic cancer (the “CPRIT Pancreatic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2026, the Company received notice of a $4.2 million grant from the U.S. Department of War (previously Department of Defense) to support the clinical investigation of MT-601 in relapsed/refractory large B-cell lymphoma (“LBCL”) (the “DoW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grant income recorded for the three months ended June 30, 2026 and 2025, by grant:</w:t>
      </w:r>
    </w:p>
    <w:tbl>
      <w:tblPr>
        <w:tblW w:w="4912" w:type="dxa"/>
        <w:jc w:val="left"/>
        <w:tblInd w:w="0" w:type="dxa"/>
        <w:tblLayout w:type="fixed"/>
        <w:tblCellMar>
          <w:top w:w="0" w:type="dxa"/>
          <w:left w:w="0" w:type="dxa"/>
          <w:bottom w:w="0" w:type="dxa"/>
          <w:right w:w="0" w:type="dxa"/>
        </w:tblCellMar>
      </w:tblPr>
      <w:tblGrid>
        <w:gridCol w:w="2131"/>
        <w:gridCol w:w="346"/>
        <w:gridCol w:w="211"/>
        <w:gridCol w:w="781"/>
        <w:gridCol w:w="346"/>
        <w:gridCol w:w="211"/>
        <w:gridCol w:w="88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53185" cy="175260"/>
                      <wp:effectExtent l="0" t="0" r="0" b="0"/>
                      <wp:wrapNone/>
                      <wp:docPr id="209" name="Frame20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95935" cy="175260"/>
                      <wp:effectExtent l="0" t="0" r="0" b="0"/>
                      <wp:wrapNone/>
                      <wp:docPr id="212" name="Frame2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62610" cy="175260"/>
                      <wp:effectExtent l="0" t="0" r="0" b="0"/>
                      <wp:wrapNone/>
                      <wp:docPr id="215" name="Frame2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2131"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CPRIT AML Grant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256,890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319,610</w:t>
            </w:r>
          </w:p>
        </w:tc>
      </w:tr>
      <w:tr>
        <w:trPr/>
        <w:tc>
          <w:tcPr>
            <w:tcW w:w="21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104,461</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11,594</w:t>
            </w:r>
          </w:p>
        </w:tc>
      </w:tr>
      <w:tr>
        <w:trPr/>
        <w:tc>
          <w:tcPr>
            <w:tcW w:w="21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167,206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189,076</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PANACEA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105,601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53,168</w:t>
            </w:r>
          </w:p>
        </w:tc>
      </w:tr>
      <w:tr>
        <w:trPr/>
        <w:tc>
          <w:tcPr>
            <w:tcW w:w="213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CPRIT Pancreatic Grant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131,827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183,275</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grant income</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681,579</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861,184</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Both CPRIT grants are subject to certain revenue - sharing arrangements, as per the grant agreements (see Note 11).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$0.1 million and $0.1 million for the three months ended June 30, 2026 and 2025, respectively,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was nil and $0.1 million for the three months ended June 30, 2026 and 2025, respectively, and was attributable to a state sales tax rebate from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during the three months ended June 30, 2026 compared to the three months ended June 30, 2025 was primarily due to cost decreases in our research and development activities.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six months ended June 30, 2026 and 2025:</w:t>
      </w:r>
    </w:p>
    <w:tbl>
      <w:tblPr>
        <w:tblW w:w="9961" w:type="dxa"/>
        <w:jc w:val="left"/>
        <w:tblInd w:w="0" w:type="dxa"/>
        <w:tblLayout w:type="fixed"/>
        <w:tblCellMar>
          <w:top w:w="0" w:type="dxa"/>
          <w:left w:w="0" w:type="dxa"/>
          <w:bottom w:w="0" w:type="dxa"/>
          <w:right w:w="0" w:type="dxa"/>
        </w:tblCellMar>
      </w:tblPr>
      <w:tblGrid>
        <w:gridCol w:w="3901"/>
        <w:gridCol w:w="346"/>
        <w:gridCol w:w="211"/>
        <w:gridCol w:w="1051"/>
        <w:gridCol w:w="346"/>
        <w:gridCol w:w="109"/>
        <w:gridCol w:w="1156"/>
        <w:gridCol w:w="346"/>
        <w:gridCol w:w="211"/>
        <w:gridCol w:w="1051"/>
        <w:gridCol w:w="346"/>
        <w:gridCol w:w="541"/>
        <w:gridCol w:w="34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77135" cy="175260"/>
                      <wp:effectExtent l="0" t="0" r="0" b="0"/>
                      <wp:wrapNone/>
                      <wp:docPr id="216" name="Frame21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67385" cy="175260"/>
                      <wp:effectExtent l="0" t="0" r="0" b="0"/>
                      <wp:wrapNone/>
                      <wp:docPr id="219" name="Frame21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34060" cy="175260"/>
                      <wp:effectExtent l="0" t="0" r="0" b="0"/>
                      <wp:wrapNone/>
                      <wp:docPr id="222" name="Frame21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67385" cy="175260"/>
                      <wp:effectExtent l="0" t="0" r="0" b="0"/>
                      <wp:wrapNone/>
                      <wp:docPr id="225" name="Frame2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43535" cy="175260"/>
                      <wp:effectExtent l="0" t="0" r="0" b="0"/>
                      <wp:wrapNone/>
                      <wp:docPr id="227" name="Frame22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28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both"/>
              <w:rPr/>
            </w:pPr>
            <w:r>
              <w:rPr/>
              <w:t>  ​ ​ ​</w:t>
            </w:r>
          </w:p>
        </w:tc>
        <w:tc>
          <w:tcPr>
            <w:tcW w:w="126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54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8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both"/>
              <w:rPr/>
            </w:pPr>
            <w:r>
              <w:rPr/>
              <w:t>​</w:t>
            </w:r>
          </w:p>
        </w:tc>
        <w:tc>
          <w:tcPr>
            <w:tcW w:w="126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both"/>
              <w:rPr/>
            </w:pPr>
            <w:r>
              <w:rPr/>
              <w:t>  ​ ​ ​</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109"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541" w:type="dxa"/>
            <w:tcBorders/>
            <w:shd w:fill="CCEEFF" w:val="clear"/>
            <w:vAlign w:val="center"/>
          </w:tcPr>
          <w:p>
            <w:pPr>
              <w:pStyle w:val="TableContents"/>
              <w:bidi w:val="0"/>
              <w:spacing w:before="0" w:after="0"/>
              <w:ind w:left="0" w:right="0" w:hanging="0"/>
              <w:jc w:val="both"/>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4,318,888</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7,312,481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(2,993,593)</w:t>
            </w:r>
          </w:p>
        </w:tc>
        <w:tc>
          <w:tcPr>
            <w:tcW w:w="34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2,374,012</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2,314,378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59,634</w:t>
            </w:r>
          </w:p>
        </w:tc>
        <w:tc>
          <w:tcPr>
            <w:tcW w:w="34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on early termination of vendor agreement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453,135</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(453,135)</w:t>
            </w:r>
          </w:p>
        </w:tc>
        <w:tc>
          <w:tcPr>
            <w:tcW w:w="346" w:type="dxa"/>
            <w:tcBorders/>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6,692,900</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10,079,994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(3,387,094)</w:t>
            </w:r>
          </w:p>
        </w:tc>
        <w:tc>
          <w:tcPr>
            <w:tcW w:w="346" w:type="dxa"/>
            <w:tcBorders/>
            <w:shd w:fill="CCEEFF" w:val="clear"/>
            <w:vAlign w:val="center"/>
          </w:tcPr>
          <w:p>
            <w:pPr>
              <w:pStyle w:val="TableContents"/>
              <w:bidi w:val="0"/>
              <w:spacing w:before="0" w:after="0"/>
              <w:ind w:left="0" w:right="0" w:hanging="0"/>
              <w:jc w:val="both"/>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(6,692,900)</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(10,079,994)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3,387,094</w:t>
            </w:r>
          </w:p>
        </w:tc>
        <w:tc>
          <w:tcPr>
            <w:tcW w:w="34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109"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1,433,270</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1,210,288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222,982</w:t>
            </w:r>
          </w:p>
        </w:tc>
        <w:tc>
          <w:tcPr>
            <w:tcW w:w="346" w:type="dxa"/>
            <w:tcBorders/>
            <w:vAlign w:val="center"/>
          </w:tcPr>
          <w:p>
            <w:pPr>
              <w:pStyle w:val="TableContents"/>
              <w:bidi w:val="0"/>
              <w:spacing w:before="0" w:after="0"/>
              <w:ind w:left="0" w:right="0" w:hanging="0"/>
              <w:jc w:val="both"/>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245,446</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(45,068)</w:t>
            </w:r>
          </w:p>
        </w:tc>
        <w:tc>
          <w:tcPr>
            <w:tcW w:w="346" w:type="dxa"/>
            <w:tcBorders/>
            <w:shd w:fill="CCEEFF" w:val="clear"/>
            <w:vAlign w:val="center"/>
          </w:tcPr>
          <w:p>
            <w:pPr>
              <w:pStyle w:val="TableContents"/>
              <w:bidi w:val="0"/>
              <w:spacing w:before="0" w:after="0"/>
              <w:ind w:left="0" w:right="0" w:hanging="0"/>
              <w:jc w:val="both"/>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(108,767)</w:t>
            </w:r>
          </w:p>
        </w:tc>
        <w:tc>
          <w:tcPr>
            <w:tcW w:w="346" w:type="dxa"/>
            <w:tcBorders/>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(5,005,507)</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(8,461,748)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3,456,241</w:t>
            </w:r>
          </w:p>
        </w:tc>
        <w:tc>
          <w:tcPr>
            <w:tcW w:w="346" w:type="dxa"/>
            <w:tcBorders/>
            <w:shd w:fill="CCEEFF" w:val="clear"/>
            <w:vAlign w:val="center"/>
          </w:tcPr>
          <w:p>
            <w:pPr>
              <w:pStyle w:val="TableContents"/>
              <w:bidi w:val="0"/>
              <w:spacing w:before="0" w:after="0"/>
              <w:ind w:left="0" w:right="0" w:hanging="0"/>
              <w:jc w:val="both"/>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six months ended June 30, 2026 were $6.7 million compared to $10.1 million during the same period ended June 30,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41% to $4.3 million for the six months ended June 30, 2026, compared to $7.3 million for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$3.0 million in 2026 was primarily attributable to the following:</w:t>
      </w:r>
    </w:p>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$2.8 million in clinical trial expenses,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headcount-related expenses,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process development costs, offset by</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other clinical expenses.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increased by 3% to $2.4 million for the six months ended June 30, 2026, compared to $2.3 million during the same period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$0.1 million in 2026 was primarily attributable to increases in headcount-related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we had been awarded a $2.0 million grant from the FDA’s Orphan Products Grant program to support the clinical investigation of MT-401 for the treatment of AML (the “FDA Grant”).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we received notice of a $2.0 million grant over a 2-year period from the National Institutes of Health SBIR program to support control over tumor immune escape in pancreatic cancer using a dual T cell product strategy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notice of an additional $2.0 million grant from the NIH SBIR program to support the clinical investigation of MT-601 in patients with non-Hodgkin’s lymphoma (“NHL”) who have relapsed following anti-CD19 chimeric antigen receptor (“CAR”) T cell therapy (the “SBIR NHL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another $2.0 million grant from the National Institutes of Health SBIR Program to support the advancement of MT-601 in patients with pancreatic cancer (the “PANACEA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we received notice an additional $9.5 million grant from CPRIT to support the clinical investigation of MT-601 in patients with metastatic pancreatic cancer (the “CPRIT Pancreatic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2026, the Company received notice of a $4.2 million grant from the U.S. Department of War (previously Department of Defense) to support the clinical investigation of MT-601 in relapsed/refractory large B-cell lymphoma (“LBCL”) (the “DoW Grant”).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grant income recorded for the six months ended June 30, 2026 and 2025, by grant:</w:t>
      </w:r>
    </w:p>
    <w:tbl>
      <w:tblPr>
        <w:tblW w:w="5212" w:type="dxa"/>
        <w:jc w:val="left"/>
        <w:tblInd w:w="0" w:type="dxa"/>
        <w:tblLayout w:type="fixed"/>
        <w:tblCellMar>
          <w:top w:w="0" w:type="dxa"/>
          <w:left w:w="0" w:type="dxa"/>
          <w:bottom w:w="0" w:type="dxa"/>
          <w:right w:w="0" w:type="dxa"/>
        </w:tblCellMar>
      </w:tblPr>
      <w:tblGrid>
        <w:gridCol w:w="2131"/>
        <w:gridCol w:w="346"/>
        <w:gridCol w:w="211"/>
        <w:gridCol w:w="931"/>
        <w:gridCol w:w="346"/>
        <w:gridCol w:w="211"/>
        <w:gridCol w:w="103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53185" cy="175260"/>
                      <wp:effectExtent l="0" t="0" r="0" b="0"/>
                      <wp:wrapNone/>
                      <wp:docPr id="229" name="Frame22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91185" cy="175260"/>
                      <wp:effectExtent l="0" t="0" r="0" b="0"/>
                      <wp:wrapNone/>
                      <wp:docPr id="232" name="Frame2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57860" cy="175260"/>
                      <wp:effectExtent l="0" t="0" r="0" b="0"/>
                      <wp:wrapNone/>
                      <wp:docPr id="235" name="Frame2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2131" w:type="dxa"/>
            <w:tcBorders/>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CPRIT AML Grant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465,399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537,254</w:t>
            </w:r>
          </w:p>
        </w:tc>
      </w:tr>
      <w:tr>
        <w:trPr/>
        <w:tc>
          <w:tcPr>
            <w:tcW w:w="213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104,461</w:t>
            </w:r>
          </w:p>
        </w:tc>
      </w:tr>
      <w:tr>
        <w:trPr/>
        <w:tc>
          <w:tcPr>
            <w:tcW w:w="213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108,317</w:t>
            </w:r>
          </w:p>
        </w:tc>
      </w:tr>
      <w:tr>
        <w:trPr/>
        <w:tc>
          <w:tcPr>
            <w:tcW w:w="213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265,840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203,291</w:t>
            </w:r>
          </w:p>
        </w:tc>
      </w:tr>
      <w:tr>
        <w:trPr/>
        <w:tc>
          <w:tcPr>
            <w:tcW w:w="213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PANACEA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179,079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61,147</w:t>
            </w:r>
          </w:p>
        </w:tc>
      </w:tr>
      <w:tr>
        <w:trPr/>
        <w:tc>
          <w:tcPr>
            <w:tcW w:w="2131" w:type="dxa"/>
            <w:tcBorders/>
            <w:shd w:fill="CCEEFF" w:val="clear"/>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CPRIT Pancreatic Grant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383,490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195,818</w:t>
            </w:r>
          </w:p>
        </w:tc>
      </w:tr>
      <w:tr>
        <w:trPr/>
        <w:tc>
          <w:tcPr>
            <w:tcW w:w="213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grant income</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1,433,270</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1,210,288</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Both CPRIT grants are subject to certain revenue - sharing arrangements, as per the grant agreements (see Note 11).</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$0.2 million and $0.3 million for the six months ended June 30, 2026 and 2025, respectively,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was immaterial and $0.1 million for the six months ended June 30, 2026 and 2025, respectively, and was attributable to a state sales tax rebate from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during the six months ended June 30, 2026 compared to the six months ended June 30, 2025 was primarily due to cost decreases in our research and development activities and the loss on termination of the Cell Ready MSA.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grant income associated with grants to fund research. We have financed our operations primarily through public and private offerings of our stock and debt including warrants and the exercise thereof, as well as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lack of recurring revenues, anticipated uses of cash and historical recurring cash losses from operating activities, and cash, cash equivalents, and restricted cash as of June 30, 2026, and taking into consideration the net proceeds received in July and August of 2025 through the sale of Common Stock pursuant to its ATM Agreement with H.C. Wainwright &amp; Co., LLC, we anticipate that we will be able to fund our operating expenses and capital expenditure requirements into the second quarter of 2027, assuming no additional grant funds are received, either from new grants or from existing awarded grants. We are considering raising additional capital through the issuance of common shares or preferred shares and intend to apply for additional grant funds, which could enable us to fund our operating expenses and capital expenditure requirements beyond the second quarter of 2027, although no assurance can be given that such capital or existing awarded grants will be earned or future grants will be awarded. This estimate is subject to our ability to effectively manage our costs, raise additional capital, and receive additional grant funds, of which there can be no assurance.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cash equivalents, restricted cash, and working capital as of June 30, 2026 and December 31, 2025:</w:t>
      </w:r>
    </w:p>
    <w:tbl>
      <w:tblPr>
        <w:tblW w:w="6847" w:type="dxa"/>
        <w:jc w:val="left"/>
        <w:tblInd w:w="0" w:type="dxa"/>
        <w:tblLayout w:type="fixed"/>
        <w:tblCellMar>
          <w:top w:w="0" w:type="dxa"/>
          <w:left w:w="0" w:type="dxa"/>
          <w:bottom w:w="0" w:type="dxa"/>
          <w:right w:w="0" w:type="dxa"/>
        </w:tblCellMar>
      </w:tblPr>
      <w:tblGrid>
        <w:gridCol w:w="3556"/>
        <w:gridCol w:w="346"/>
        <w:gridCol w:w="211"/>
        <w:gridCol w:w="1036"/>
        <w:gridCol w:w="346"/>
        <w:gridCol w:w="211"/>
        <w:gridCol w:w="114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58060" cy="175260"/>
                      <wp:effectExtent l="0" t="0" r="0" b="0"/>
                      <wp:wrapNone/>
                      <wp:docPr id="236" name="Frame233"/>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57860" cy="175260"/>
                      <wp:effectExtent l="0" t="0" r="0" b="0"/>
                      <wp:wrapNone/>
                      <wp:docPr id="239" name="Frame2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24535" cy="175260"/>
                      <wp:effectExtent l="0" t="0" r="0" b="0"/>
                      <wp:wrapNone/>
                      <wp:docPr id="242" name="Frame23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both"/>
              <w:rPr/>
            </w:pPr>
            <w:r>
              <w:rPr/>
              <w:t>  ​ ​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5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11,922,332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17,042,847</w:t>
            </w:r>
          </w:p>
        </w:tc>
      </w:tr>
      <w:tr>
        <w:trPr/>
        <w:tc>
          <w:tcPr>
            <w:tcW w:w="3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12,165,464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16,796,814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six months ended June 30, 2026 and 2025:</w:t>
      </w:r>
    </w:p>
    <w:tbl>
      <w:tblPr>
        <w:tblW w:w="8227" w:type="dxa"/>
        <w:jc w:val="left"/>
        <w:tblInd w:w="0" w:type="dxa"/>
        <w:tblLayout w:type="fixed"/>
        <w:tblCellMar>
          <w:top w:w="0" w:type="dxa"/>
          <w:left w:w="0" w:type="dxa"/>
          <w:bottom w:w="0" w:type="dxa"/>
          <w:right w:w="0" w:type="dxa"/>
        </w:tblCellMar>
      </w:tblPr>
      <w:tblGrid>
        <w:gridCol w:w="4966"/>
        <w:gridCol w:w="346"/>
        <w:gridCol w:w="211"/>
        <w:gridCol w:w="1051"/>
        <w:gridCol w:w="346"/>
        <w:gridCol w:w="211"/>
        <w:gridCol w:w="109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153410" cy="175260"/>
                      <wp:effectExtent l="0" t="0" r="0" b="0"/>
                      <wp:wrapNone/>
                      <wp:docPr id="243" name="Frame240"/>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67385" cy="175260"/>
                      <wp:effectExtent l="0" t="0" r="0" b="0"/>
                      <wp:wrapNone/>
                      <wp:docPr id="246" name="Frame24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5960" cy="175260"/>
                      <wp:effectExtent l="0" t="0" r="0" b="0"/>
                      <wp:wrapNone/>
                      <wp:docPr id="249" name="Frame24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9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9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9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(used in):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(5,120,515)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(7,378,099)</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decrease in cash, cash equivalents, and restricted cash</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(5,120,515)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(7,377,494)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2026 was $5.1 million. The use of cash primarily related to our net loss of $5.0 million and a $0.5 million decrease from changes in assets and liabilities, offset by $0.4 million of non-cash 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2025 was $7.4 million. The use of cash primarily related to our net loss of $8.5 million offset by $0.4 million of non-cash stock-based compensation and a $0.7 million increase from changes in assets and liabilities.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cash provided by financing activities during the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$605 during the six months ended June 30, 2025 due to the net proceeds from the exercise of warrants.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receivable mainly consists of grant income receivable. Qualifying grant income earned in advance of cash received from grants is recognized as other income and recorded as other receivable. The following table summarizes the Company’s other receivable balance as of June 30, 2026 and December 31, 2025, respectively:</w:t>
      </w:r>
    </w:p>
    <w:tbl>
      <w:tblPr>
        <w:tblW w:w="5632" w:type="dxa"/>
        <w:jc w:val="left"/>
        <w:tblInd w:w="0" w:type="dxa"/>
        <w:tblLayout w:type="fixed"/>
        <w:tblCellMar>
          <w:top w:w="0" w:type="dxa"/>
          <w:left w:w="0" w:type="dxa"/>
          <w:bottom w:w="0" w:type="dxa"/>
          <w:right w:w="0" w:type="dxa"/>
        </w:tblCellMar>
      </w:tblPr>
      <w:tblGrid>
        <w:gridCol w:w="2551"/>
        <w:gridCol w:w="346"/>
        <w:gridCol w:w="211"/>
        <w:gridCol w:w="931"/>
        <w:gridCol w:w="346"/>
        <w:gridCol w:w="211"/>
        <w:gridCol w:w="103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19885" cy="175260"/>
                      <wp:effectExtent l="0" t="0" r="0" b="0"/>
                      <wp:wrapNone/>
                      <wp:docPr id="250" name="Frame247"/>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91185" cy="175260"/>
                      <wp:effectExtent l="0" t="0" r="0" b="0"/>
                      <wp:wrapNone/>
                      <wp:docPr id="253" name="Frame2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57860" cy="175260"/>
                      <wp:effectExtent l="0" t="0" r="0" b="0"/>
                      <wp:wrapNone/>
                      <wp:docPr id="256" name="Frame2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5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 receivable:</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25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CPRIT AML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1,311,557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815,436</w:t>
            </w:r>
          </w:p>
        </w:tc>
      </w:tr>
      <w:tr>
        <w:trPr/>
        <w:tc>
          <w:tcPr>
            <w:tcW w:w="25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w:t>
            </w:r>
          </w:p>
        </w:tc>
      </w:tr>
      <w:tr>
        <w:trPr/>
        <w:tc>
          <w:tcPr>
            <w:tcW w:w="25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162,897</w:t>
            </w:r>
          </w:p>
        </w:tc>
      </w:tr>
      <w:tr>
        <w:trPr/>
        <w:tc>
          <w:tcPr>
            <w:tcW w:w="25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59,501</w:t>
            </w:r>
          </w:p>
        </w:tc>
      </w:tr>
      <w:tr>
        <w:trPr/>
        <w:tc>
          <w:tcPr>
            <w:tcW w:w="25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SBIR NHL Grant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87,417</w:t>
            </w:r>
          </w:p>
        </w:tc>
      </w:tr>
      <w:tr>
        <w:trPr/>
        <w:tc>
          <w:tcPr>
            <w:tcW w:w="25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PANACEA Grant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105,601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190,052</w:t>
            </w:r>
          </w:p>
        </w:tc>
      </w:tr>
      <w:tr>
        <w:trPr/>
        <w:tc>
          <w:tcPr>
            <w:tcW w:w="25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grant income receivable</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1,579,113</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1,318,981</w:t>
            </w:r>
          </w:p>
        </w:tc>
      </w:tr>
      <w:tr>
        <w:trPr/>
        <w:tc>
          <w:tcPr>
            <w:tcW w:w="25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50,419</w:t>
            </w:r>
          </w:p>
        </w:tc>
      </w:tr>
      <w:tr>
        <w:trPr/>
        <w:tc>
          <w:tcPr>
            <w:tcW w:w="25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other receivable</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1,619,477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1,369,400</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had working capital of $12.2 million, compared to working capital of $16.8 million as of December 31, 2025. Operating expenses incurred during the three and six months ended June 30, 2026 were $2.6 million and $6.7 million, respectively, compared to $5.1 million and $10.1 million during the equivalent prior year periods, respectively. Based on our lack of recurring revenues, anticipated uses of cash and historical recurring cash losses from operating activities, and cash, cash equivalents, and restricted cash as of June 30, 2026, we anticipate that we will be able to fund our operating expenses and capital expenditure requirements into the second quarter of 2027, assuming no additional grant funds are received. We currently plan to raise additional capital through the issuance of common shares and receive additional grant funds, which could enable us to fund our operating expenses and capital expenditure requirements beyond the second quarter of 2027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approvals for our product candidates if they successfully complete clinical trials;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Because all of our product candidates are in the early stages of clinical and preclinical development and the outcome of these efforts is uncertain, we cannot estimate the actual amounts necessary to successfully complete the development and commercialization of product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we entered into an At The Market Offering Agreement (the “ATM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ATM Agreement at a commission rate equal to 3.0% of the gross sales price per share sold under the ATM Agreement, and we have provided H.C. Wainwright &amp; Co. LLC with indemnification and contribution rights. There was no activity under the ATM Agreement during any of the periods presented.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did not include any proceeds that may be received upon exercise of any warrants issued in the Private Placement. Both the Pre-Funded Warrants and the Private Placement Warrants were not exercisable until the Company obtained shareholder approval. On March 21, 2025, the Company obtained shareholder approval for the exercise of such warrants. The transaction closed on December 23, 2024.</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no sources of income, other than grant income, to provide incoming cash flows to sustain our future operations. As outlined above, our ability to pursue our long-term planned business activities is dependent upon our successful efforts to raise additional capital.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critical accounting policies include grant income. The Company does not have any critical accounting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to grant income, the Company recognizes grant income when qualifying costs are incurred for the amount the Company is entitled to under the provisions of the contract.</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25" w:name="Item3QuantitativeandQualitativeDisclosur"/>
      <w:bookmarkStart w:id="726" w:name="_e2c988c6_46fa_4de5_838f_3939394cddad"/>
      <w:bookmarkEnd w:id="725"/>
      <w:bookmarkEnd w:id="726"/>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27" w:name="Item4ControlsandProcedures_453239"/>
      <w:bookmarkStart w:id="728" w:name="_37925f4a_a697_4d22_a9a7_178fc58e431c"/>
      <w:bookmarkEnd w:id="727"/>
      <w:bookmarkEnd w:id="728"/>
      <w:r>
        <w:rPr>
          <w:rFonts w:ascii="Times New Roman;Times;serif" w:hAnsi="Times New Roman;Times;serif"/>
          <w:b/>
          <w:sz w:val="20"/>
        </w:rPr>
        <w:t>Item 4.         Controls and Procedures</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18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fiscal quarter ended June 30, 2026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9" w:name="PARTIIOTHERINFORMATION_786639"/>
      <w:bookmarkStart w:id="730" w:name="_52a76bf1_e8ef_4023_b11c_36c64fc0964c"/>
      <w:bookmarkEnd w:id="729"/>
      <w:bookmarkEnd w:id="730"/>
      <w:r>
        <w:rPr>
          <w:rFonts w:ascii="Times New Roman;Times;serif" w:hAnsi="Times New Roman;Times;serif"/>
          <w:b/>
          <w:sz w:val="20"/>
        </w:rPr>
        <w:t>PART II – OTHER INFORMATION</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31" w:name="Item1LegalProceedings_798737"/>
      <w:bookmarkEnd w:id="731"/>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legal proceedings, and we are not aware of any pending or threatened legal proceeding against us that we believe could have a material adverse effect on our business, operating results, or financial condition.</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32" w:name="Item1ARiskFactors_449487"/>
      <w:bookmarkStart w:id="733" w:name="_b1a73576_20e3_46f6_a372_c6678677e087"/>
      <w:bookmarkEnd w:id="732"/>
      <w:bookmarkEnd w:id="733"/>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2025, filed with the Securities and Exchange Commission on March 18, 2026. There have been no material changes to the risk factors described in that report.</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34" w:name="Item2UnregisteredSalesofEquitySecurities"/>
      <w:bookmarkStart w:id="735" w:name="_ab6bf65d_fea2_457b_9acb_c741b2528c85"/>
      <w:bookmarkEnd w:id="734"/>
      <w:bookmarkEnd w:id="735"/>
      <w:r>
        <w:rPr>
          <w:rFonts w:ascii="Times New Roman;Times;serif" w:hAnsi="Times New Roman;Times;serif"/>
          <w:b/>
          <w:sz w:val="20"/>
        </w:rPr>
        <w:t>Item 2.         Unregistered Sales of Equity Securities and Use of Proceeds</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three months ended June 30, 2026.</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36" w:name="Item3DefaultsUponSeniorSecurities_390946"/>
      <w:bookmarkStart w:id="737" w:name="_6acd2d96_ad8a_426c_ac4b_6ddf2abcb26b"/>
      <w:bookmarkEnd w:id="736"/>
      <w:bookmarkEnd w:id="737"/>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38" w:name="Item4MineSafetyDisclosure_210061"/>
      <w:bookmarkStart w:id="739" w:name="_64915faa_8733_4f3f_8e6d_0258a01020e1"/>
      <w:bookmarkEnd w:id="738"/>
      <w:bookmarkEnd w:id="739"/>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40" w:name="Item5OtherInformation_200318"/>
      <w:bookmarkStart w:id="741" w:name="_d7fddc02_3352_4988_807d_a1de65d399e5"/>
      <w:bookmarkEnd w:id="740"/>
      <w:bookmarkEnd w:id="741"/>
      <w:r>
        <w:rPr>
          <w:rFonts w:ascii="Times New Roman;Times;serif" w:hAnsi="Times New Roman;Times;serif"/>
          <w:b/>
          <w:sz w:val="20"/>
        </w:rPr>
        <w:t>Item 5.         Other Information</w:t>
      </w:r>
    </w:p>
    <w:tbl>
      <w:tblPr>
        <w:tblW w:w="962" w:type="dxa"/>
        <w:jc w:val="left"/>
        <w:tblInd w:w="0" w:type="dxa"/>
        <w:tblLayout w:type="fixed"/>
        <w:tblCellMar>
          <w:top w:w="0" w:type="dxa"/>
          <w:left w:w="0" w:type="dxa"/>
          <w:bottom w:w="0" w:type="dxa"/>
          <w:right w:w="0" w:type="dxa"/>
        </w:tblCellMar>
      </w:tblPr>
      <w:tblGrid>
        <w:gridCol w:w="331"/>
        <w:gridCol w:w="631"/>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None.</w:t>
            </w:r>
          </w:p>
        </w:tc>
      </w:tr>
    </w:tbl>
    <w:tbl>
      <w:tblPr>
        <w:tblW w:w="977" w:type="dxa"/>
        <w:jc w:val="left"/>
        <w:tblInd w:w="0" w:type="dxa"/>
        <w:tblLayout w:type="fixed"/>
        <w:tblCellMar>
          <w:top w:w="0" w:type="dxa"/>
          <w:left w:w="0" w:type="dxa"/>
          <w:bottom w:w="0" w:type="dxa"/>
          <w:right w:w="0" w:type="dxa"/>
        </w:tblCellMar>
      </w:tblPr>
      <w:tblGrid>
        <w:gridCol w:w="346"/>
        <w:gridCol w:w="631"/>
      </w:tblGrid>
      <w:tr>
        <w:trPr/>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Director and Officer Trading Plans and Arrangements</w:t>
            </w:r>
            <w:r>
              <w:rPr>
                <w:rFonts w:ascii="Times New Roman;Times;serif" w:hAnsi="Times New Roman;Times;serif"/>
                <w:sz w:val="20"/>
              </w:rPr>
              <w:t>. During the quarterly period ended June 30, 2026, no director or officer of 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tc>
      </w:tr>
    </w:tbl>
    <w:p>
      <w:pPr>
        <w:pStyle w:val="TextBody"/>
        <w:pBdr/>
        <w:bidi w:val="0"/>
        <w:spacing w:before="0" w:after="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42" w:name="Item6Exhibits_556633"/>
      <w:bookmarkStart w:id="743" w:name="_44bd66fc_5f9b_487d_9370_ebc683a386b2"/>
      <w:bookmarkEnd w:id="742"/>
      <w:bookmarkEnd w:id="743"/>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26"/>
        <w:gridCol w:w="4804"/>
        <w:gridCol w:w="226"/>
        <w:gridCol w:w="511"/>
        <w:gridCol w:w="226"/>
        <w:gridCol w:w="769"/>
        <w:gridCol w:w="226"/>
        <w:gridCol w:w="631"/>
        <w:gridCol w:w="226"/>
        <w:gridCol w:w="675"/>
        <w:gridCol w:w="226"/>
        <w:gridCol w:w="783"/>
      </w:tblGrid>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caps w:val="false"/>
                <w:smallCaps w:val="false"/>
                <w:color w:val="000000"/>
              </w:rPr>
            </w:pPr>
            <w:r>
              <w:rPr>
                <w:caps w:val="false"/>
                <w:smallCaps w:val="false"/>
                <w:color w:val="000000"/>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caps w:val="false"/>
                <w:smallCaps w:val="false"/>
                <w:color w:val="000000"/>
              </w:rPr>
            </w:pPr>
            <w:r>
              <w:rPr>
                <w:caps w:val="false"/>
                <w:smallCaps w:val="false"/>
                <w:color w:val="000000"/>
              </w:rPr>
              <w:t> </w:t>
            </w:r>
          </w:p>
        </w:tc>
        <w:tc>
          <w:tcPr>
            <w:tcW w:w="226" w:type="dxa"/>
            <w:tcBorders/>
            <w:vAlign w:val="center"/>
          </w:tcPr>
          <w:p>
            <w:pPr>
              <w:pStyle w:val="TableContents"/>
              <w:bidi w:val="0"/>
              <w:spacing w:before="0" w:after="0"/>
              <w:ind w:left="0" w:right="0" w:hanging="0"/>
              <w:jc w:val="both"/>
              <w:rPr/>
            </w:pPr>
            <w:r>
              <w:rPr/>
              <w:t>​</w:t>
            </w:r>
          </w:p>
        </w:tc>
        <w:tc>
          <w:tcPr>
            <w:tcW w:w="23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caps w:val="false"/>
                <w:smallCaps w:val="false"/>
                <w:color w:val="000000"/>
              </w:rPr>
            </w:pPr>
            <w:r>
              <w:rPr>
                <w:caps w:val="false"/>
                <w:smallCaps w:val="false"/>
                <w:color w:val="000000"/>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26" w:type="dxa"/>
            <w:tcBorders/>
            <w:vAlign w:val="center"/>
          </w:tcPr>
          <w:p>
            <w:pPr>
              <w:pStyle w:val="TableContents"/>
              <w:bidi w:val="0"/>
              <w:spacing w:before="0" w:after="0"/>
              <w:ind w:left="0" w:right="0" w:hanging="0"/>
              <w:jc w:val="both"/>
              <w:rPr/>
            </w:pPr>
            <w:r>
              <w:rPr/>
              <w:t>  ​</w:t>
            </w:r>
          </w:p>
        </w:tc>
        <w:tc>
          <w:tcPr>
            <w:tcW w:w="48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2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26" w:type="dxa"/>
            <w:tcBorders/>
            <w:vAlign w:val="center"/>
          </w:tcPr>
          <w:p>
            <w:pPr>
              <w:pStyle w:val="TableContents"/>
              <w:bidi w:val="0"/>
              <w:spacing w:before="0" w:after="0"/>
              <w:ind w:left="0" w:right="0" w:hanging="0"/>
              <w:jc w:val="both"/>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2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26" w:type="dxa"/>
            <w:tcBorders/>
            <w:vAlign w:val="center"/>
          </w:tcPr>
          <w:p>
            <w:pPr>
              <w:pStyle w:val="TableContents"/>
              <w:bidi w:val="0"/>
              <w:spacing w:before="0" w:after="0"/>
              <w:ind w:left="0" w:right="0" w:hanging="0"/>
              <w:jc w:val="both"/>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2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(Delaware).</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3.1.3</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5/4/2026</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Bylaws of Marker Therapeutics, Inc.</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w:anchor="mrkr-2026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 as amended.</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w:anchor="mrkr-20260630xex31d2.htm">
              <w:r>
                <w:rPr>
                  <w:rStyle w:val="InternetLink"/>
                  <w:rFonts w:ascii="Times New Roman;Times;serif" w:hAnsi="Times New Roman;Times;serif"/>
                  <w:b w:val="false"/>
                  <w:i w:val="false"/>
                  <w:caps w:val="false"/>
                  <w:smallCaps w:val="false"/>
                  <w:sz w:val="20"/>
                </w:rPr>
                <w:t>Certification of Chief Financial Officer pursuant to Securities Exchange Act of 1934 Rule 13a-14(a) or 15d-14a.</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w:anchor="mrkr-20260630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26" w:type="dxa"/>
            <w:tcBorders/>
            <w:vAlign w:val="center"/>
          </w:tcPr>
          <w:p>
            <w:pPr>
              <w:pStyle w:val="TableContents"/>
              <w:bidi w:val="0"/>
              <w:spacing w:before="0" w:after="0"/>
              <w:ind w:left="0" w:right="0" w:hanging="0"/>
              <w:jc w:val="both"/>
              <w:rPr/>
            </w:pPr>
            <w:r>
              <w:rPr/>
              <w:t>​</w:t>
            </w:r>
          </w:p>
        </w:tc>
        <w:tc>
          <w:tcPr>
            <w:tcW w:w="4804" w:type="dxa"/>
            <w:tcBorders/>
            <w:vAlign w:val="center"/>
          </w:tcPr>
          <w:p>
            <w:pPr>
              <w:pStyle w:val="TableContents"/>
              <w:bidi w:val="0"/>
              <w:spacing w:before="0" w:after="0"/>
              <w:ind w:left="0" w:right="0" w:hanging="0"/>
              <w:jc w:val="both"/>
              <w:rPr/>
            </w:pPr>
            <w:hyperlink w:anchor="mrkr-20260630xex32d2.htm">
              <w:r>
                <w:rPr>
                  <w:rStyle w:val="InternetLink"/>
                  <w:rFonts w:ascii="Times New Roman;Times;serif" w:hAnsi="Times New Roman;Times;serif"/>
                  <w:b w:val="false"/>
                  <w:i w:val="false"/>
                  <w:caps w:val="false"/>
                  <w:smallCaps w:val="false"/>
                  <w:sz w:val="20"/>
                </w:rPr>
                <w:t>Certification of Chief Financial Officer pursuant to 18 U.S.C. 1350 as adopted pursuant to Section 906 of the Sarbanes-Oxley Act of 2002.</w:t>
              </w:r>
            </w:hyperlink>
          </w:p>
        </w:tc>
        <w:tc>
          <w:tcPr>
            <w:tcW w:w="22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6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Confidential treatment has been granted as to certain portions of this exhibit pursuant to Rule 406 of the Securities Act of 1933, as amended, or Rule 24b-2 of the Securities Exchange Act of 1934, as amended.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44" w:name="SIGNATURES_772915"/>
      <w:bookmarkStart w:id="745" w:name="SIGNATURES_208803"/>
      <w:bookmarkStart w:id="746" w:name="_0b90ba59_3695_4191_a072_1066569a1d6a"/>
      <w:bookmarkEnd w:id="744"/>
      <w:bookmarkEnd w:id="745"/>
      <w:bookmarkEnd w:id="74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August 14, 2026</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both"/>
              <w:rPr/>
            </w:pPr>
            <w:r>
              <w:rPr/>
              <w:t>​</w:t>
            </w:r>
          </w:p>
        </w:tc>
        <w:tc>
          <w:tcPr>
            <w:tcW w:w="992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 (Principal Executive Officer and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right"/>
        <w:rPr>
          <w:rFonts w:ascii="Times New Roman;Times;serif" w:hAnsi="Times New Roman;Times;serif"/>
          <w:b/>
          <w:sz w:val="20"/>
        </w:rPr>
      </w:pPr>
      <w:bookmarkStart w:id="747" w:name="mrkr-20260630xex31d1.htm"/>
      <w:bookmarkStart w:id="748" w:name="ksmrkr20260630xex31d1"/>
      <w:bookmarkEnd w:id="747"/>
      <w:bookmarkEnd w:id="748"/>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731" w:type="dxa"/>
        <w:jc w:val="left"/>
        <w:tblInd w:w="0" w:type="dxa"/>
        <w:tblLayout w:type="fixed"/>
        <w:tblCellMar>
          <w:top w:w="0" w:type="dxa"/>
          <w:left w:w="0" w:type="dxa"/>
          <w:bottom w:w="0" w:type="dxa"/>
          <w:right w:w="0" w:type="dxa"/>
        </w:tblCellMar>
      </w:tblPr>
      <w:tblGrid>
        <w:gridCol w:w="571"/>
        <w:gridCol w:w="4006"/>
        <w:gridCol w:w="154"/>
      </w:tblGrid>
      <w:tr>
        <w:trPr/>
        <w:tc>
          <w:tcPr>
            <w:tcW w:w="571"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2026</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pBdr/>
              <w:bidi w:val="0"/>
              <w:spacing w:before="0" w:after="0"/>
              <w:ind w:left="0" w:right="0" w:hanging="720"/>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49" w:name="mrkr-20260630xex31d2.htm"/>
      <w:bookmarkStart w:id="750" w:name="ksmrkr20260630xex31d2"/>
      <w:bookmarkEnd w:id="749"/>
      <w:bookmarkEnd w:id="75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731" w:type="dxa"/>
        <w:jc w:val="left"/>
        <w:tblInd w:w="0" w:type="dxa"/>
        <w:tblLayout w:type="fixed"/>
        <w:tblCellMar>
          <w:top w:w="0" w:type="dxa"/>
          <w:left w:w="0" w:type="dxa"/>
          <w:bottom w:w="0" w:type="dxa"/>
          <w:right w:w="0" w:type="dxa"/>
        </w:tblCellMar>
      </w:tblPr>
      <w:tblGrid>
        <w:gridCol w:w="571"/>
        <w:gridCol w:w="4006"/>
        <w:gridCol w:w="154"/>
      </w:tblGrid>
      <w:tr>
        <w:trPr/>
        <w:tc>
          <w:tcPr>
            <w:tcW w:w="571"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2026</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pBdr/>
              <w:bidi w:val="0"/>
              <w:spacing w:before="0" w:after="0"/>
              <w:ind w:left="0" w:right="0" w:hanging="720"/>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1" w:name="mrkr-20260630xex32d1.htm"/>
      <w:bookmarkStart w:id="752" w:name="ksmrkr20260630xex32d1"/>
      <w:bookmarkEnd w:id="751"/>
      <w:bookmarkEnd w:id="752"/>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June 30, 2026,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tbl>
      <w:tblPr>
        <w:tblW w:w="4716" w:type="dxa"/>
        <w:jc w:val="left"/>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2026</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3" w:name="mrkr-20260630xex32d2.htm"/>
      <w:bookmarkStart w:id="754" w:name="ksmrkr20260630xex32d2"/>
      <w:bookmarkEnd w:id="753"/>
      <w:bookmarkEnd w:id="754"/>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June 30, 2026,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tbl>
      <w:tblPr>
        <w:tblW w:w="4716" w:type="dxa"/>
        <w:jc w:val="center"/>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bidi w:val="0"/>
              <w:spacing w:before="0" w:after="240"/>
              <w:ind w:left="0" w:right="0" w:hanging="0"/>
              <w:jc w:val="both"/>
              <w:rPr/>
            </w:pPr>
            <w:r>
              <w:rPr/>
              <w:t>​</w:t>
            </w:r>
          </w:p>
        </w:tc>
        <w:tc>
          <w:tcPr>
            <w:tcW w:w="4006" w:type="dxa"/>
            <w:tcBorders/>
            <w:vAlign w:val="center"/>
          </w:tcPr>
          <w:p>
            <w:pPr>
              <w:pStyle w:val="TableContents"/>
              <w:bidi w:val="0"/>
              <w:spacing w:before="0" w:after="240"/>
              <w:ind w:left="0" w:right="0" w:hanging="0"/>
              <w:jc w:val="both"/>
              <w:rPr/>
            </w:pPr>
            <w:r>
              <w:rPr/>
              <w:t>​</w:t>
            </w:r>
          </w:p>
        </w:tc>
        <w:tc>
          <w:tcPr>
            <w:tcW w:w="154" w:type="dxa"/>
            <w:tcBorders/>
            <w:vAlign w:val="center"/>
          </w:tcPr>
          <w:p>
            <w:pPr>
              <w:pStyle w:val="TableContents"/>
              <w:bidi w:val="0"/>
              <w:spacing w:before="0" w:after="24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2026</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pBdr/>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pBdr/>
              <w:bidi w:val="0"/>
              <w:spacing w:before="0" w:after="0"/>
              <w:ind w:left="0" w:right="0" w:hanging="144"/>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94038/000114420418054209/tv504951_ex3-4.htm" TargetMode="External"/><Relationship Id="rId6" Type="http://schemas.openxmlformats.org/officeDocument/2006/relationships/hyperlink" Target="https://www.sec.gov/Archives/edgar/data/1094038/000119312522162322/d480537dex31.htm" TargetMode="External"/><Relationship Id="rId7" Type="http://schemas.openxmlformats.org/officeDocument/2006/relationships/hyperlink" Target="https://www.sec.gov/Archives/edgar/data/1094038/000110465923007019/tm234466d1_ex3-1.htm" TargetMode="External"/><Relationship Id="rId8" Type="http://schemas.openxmlformats.org/officeDocument/2006/relationships/hyperlink" Target="https://www.sec.gov/Archives/edgar/data/1094038/000110465926054940/tm2613511d1_ex3-1.htm" TargetMode="External"/><Relationship Id="rId9" Type="http://schemas.openxmlformats.org/officeDocument/2006/relationships/hyperlink" Target="https://www.sec.gov/Archives/edgar/data/1094038/000114420418054209/tv504951_ex3-6.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15085</Words>
  <Characters>84509</Characters>
  <CharactersWithSpaces>101002</CharactersWithSpaces>
  <Paragraphs>3753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