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437515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10-Q</w:t>
      </w:r>
    </w:p>
    <w:p>
      <w:pPr>
        <w:spacing w:after="0" w:line="153"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Under Section 13 or 15(d) of the Securities Exchange Act of 1934 for the quarterly period ended September 30, 2024</w:t>
      </w:r>
    </w:p>
    <w:p>
      <w:pPr>
        <w:spacing w:after="0" w:line="154" w:lineRule="exact"/>
        <w:rPr>
          <w:sz w:val="24"/>
          <w:szCs w:val="24"/>
          <w:color w:val="auto"/>
        </w:rPr>
      </w:pPr>
    </w:p>
    <w:p>
      <w:pPr>
        <w:ind w:left="3720" w:right="1140" w:hanging="3712"/>
        <w:spacing w:after="0" w:line="474" w:lineRule="auto"/>
        <w:tabs>
          <w:tab w:leader="none" w:pos="26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Transition Report Under Section 13 or 15(d) of the Securities Exchange Act of 1934 for the transition period from _____ to _____. Commission File Number: </w:t>
      </w:r>
      <w:r>
        <w:rPr>
          <w:rFonts w:ascii="Times New Roman" w:cs="Times New Roman" w:eastAsia="Times New Roman" w:hAnsi="Times New Roman"/>
          <w:sz w:val="16"/>
          <w:szCs w:val="16"/>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-23495</wp:posOffset>
            </wp:positionV>
            <wp:extent cx="240030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3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MARKER THERAPEUTICS,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registrant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4840" w:type="dxa"/>
            <w:vAlign w:val="bottom"/>
          </w:tcPr>
          <w:p>
            <w:pPr>
              <w:jc w:val="right"/>
              <w:ind w:right="1959"/>
              <w:spacing w:after="0"/>
              <w:rPr>
                <w:sz w:val="20"/>
                <w:szCs w:val="20"/>
                <w:color w:val="auto"/>
              </w:rPr>
            </w:pPr>
            <w:r>
              <w:rPr>
                <w:rFonts w:ascii="Times New Roman" w:cs="Times New Roman" w:eastAsia="Times New Roman" w:hAnsi="Times New Roman"/>
                <w:sz w:val="16"/>
                <w:szCs w:val="16"/>
                <w:b w:val="1"/>
                <w:bCs w:val="1"/>
                <w:color w:val="auto"/>
              </w:rPr>
              <w:t>45-4497941</w:t>
            </w:r>
          </w:p>
        </w:tc>
      </w:tr>
      <w:tr>
        <w:trPr>
          <w:trHeight w:val="210"/>
        </w:trPr>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20" w:type="dxa"/>
            <w:vAlign w:val="bottom"/>
          </w:tcPr>
          <w:p>
            <w:pPr>
              <w:spacing w:after="0"/>
              <w:rPr>
                <w:sz w:val="18"/>
                <w:szCs w:val="18"/>
                <w:color w:val="auto"/>
              </w:rPr>
            </w:pPr>
          </w:p>
        </w:tc>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41"/>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2450 Holcombe Blvd, Suite BCM-A, MS: BCM251</w:t>
            </w:r>
          </w:p>
        </w:tc>
        <w:tc>
          <w:tcPr>
            <w:tcW w:w="4840" w:type="dxa"/>
            <w:vAlign w:val="bottom"/>
          </w:tcPr>
          <w:p>
            <w:pPr>
              <w:spacing w:after="0"/>
              <w:rPr>
                <w:sz w:val="24"/>
                <w:szCs w:val="24"/>
                <w:color w:val="auto"/>
              </w:rPr>
            </w:pPr>
          </w:p>
        </w:tc>
      </w:tr>
      <w:tr>
        <w:trPr>
          <w:trHeight w:val="225"/>
        </w:trPr>
        <w:tc>
          <w:tcPr>
            <w:tcW w:w="5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Houston, Texas</w:t>
            </w:r>
          </w:p>
        </w:tc>
        <w:tc>
          <w:tcPr>
            <w:tcW w:w="4840" w:type="dxa"/>
            <w:vAlign w:val="bottom"/>
          </w:tcPr>
          <w:p>
            <w:pPr>
              <w:jc w:val="right"/>
              <w:ind w:right="2139"/>
              <w:spacing w:after="0"/>
              <w:rPr>
                <w:sz w:val="20"/>
                <w:szCs w:val="20"/>
                <w:color w:val="auto"/>
              </w:rPr>
            </w:pPr>
            <w:r>
              <w:rPr>
                <w:rFonts w:ascii="Times New Roman" w:cs="Times New Roman" w:eastAsia="Times New Roman" w:hAnsi="Times New Roman"/>
                <w:sz w:val="16"/>
                <w:szCs w:val="16"/>
                <w:b w:val="1"/>
                <w:bCs w:val="1"/>
                <w:color w:val="auto"/>
              </w:rPr>
              <w:t>77021</w:t>
            </w:r>
          </w:p>
        </w:tc>
      </w:tr>
      <w:tr>
        <w:trPr>
          <w:trHeight w:val="210"/>
        </w:trPr>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20" w:type="dxa"/>
            <w:vAlign w:val="bottom"/>
          </w:tcPr>
          <w:p>
            <w:pPr>
              <w:spacing w:after="0"/>
              <w:rPr>
                <w:sz w:val="18"/>
                <w:szCs w:val="18"/>
                <w:color w:val="auto"/>
              </w:rPr>
            </w:pPr>
          </w:p>
        </w:tc>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337"/>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(713) 400-6400</w:t>
            </w:r>
          </w:p>
        </w:tc>
        <w:tc>
          <w:tcPr>
            <w:tcW w:w="2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10"/>
        </w:trPr>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(Issuer’s telephone number)</w:t>
            </w:r>
          </w:p>
        </w:tc>
        <w:tc>
          <w:tcPr>
            <w:tcW w:w="220" w:type="dxa"/>
            <w:vAlign w:val="bottom"/>
          </w:tcPr>
          <w:p>
            <w:pPr>
              <w:spacing w:after="0"/>
              <w:rPr>
                <w:sz w:val="18"/>
                <w:szCs w:val="18"/>
                <w:color w:val="auto"/>
              </w:rPr>
            </w:pPr>
          </w:p>
        </w:tc>
        <w:tc>
          <w:tcPr>
            <w:tcW w:w="4840" w:type="dxa"/>
            <w:vAlign w:val="bottom"/>
          </w:tcPr>
          <w:p>
            <w:pPr>
              <w:spacing w:after="0"/>
              <w:rPr>
                <w:sz w:val="18"/>
                <w:szCs w:val="18"/>
                <w:color w:val="auto"/>
              </w:rPr>
            </w:pPr>
          </w:p>
        </w:tc>
      </w:tr>
    </w:tbl>
    <w:p>
      <w:pPr>
        <w:spacing w:after="0" w:line="329"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351"/>
        </w:trPr>
        <w:tc>
          <w:tcPr>
            <w:tcW w:w="40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38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80" w:type="dxa"/>
            <w:vAlign w:val="bottom"/>
          </w:tcPr>
          <w:p>
            <w:pPr>
              <w:spacing w:after="0"/>
              <w:rPr>
                <w:sz w:val="20"/>
                <w:szCs w:val="20"/>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MRKR</w:t>
            </w:r>
          </w:p>
        </w:tc>
        <w:tc>
          <w:tcPr>
            <w:tcW w:w="16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62"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Accelerated filer</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39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ind w:right="162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8,923,490 shares of common stock outstanding as of November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707390</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55880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2024 and December 31, 2023</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2024 and</w:t>
            </w:r>
          </w:p>
        </w:tc>
        <w:tc>
          <w:tcPr>
            <w:tcW w:w="940" w:type="dxa"/>
            <w:vAlign w:val="bottom"/>
            <w:tcBorders>
              <w:bottom w:val="single" w:sz="8" w:color="CCEEFF"/>
            </w:tcBorders>
            <w:shd w:val="clear" w:color="auto" w:fill="CCEEFF"/>
          </w:tcPr>
          <w:p>
            <w:pPr>
              <w:spacing w:after="0"/>
              <w:rPr>
                <w:sz w:val="15"/>
                <w:szCs w:val="15"/>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1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nine months ended September 30,</w:t>
            </w:r>
          </w:p>
        </w:tc>
        <w:tc>
          <w:tcPr>
            <w:tcW w:w="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 2023</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2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425"/>
        </w:trPr>
        <w:tc>
          <w:tcPr>
            <w:tcW w:w="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8,999,664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1,166,274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744,410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10,910,348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17,127,391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10,910,348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17,127,391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903,438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1,329,655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3,460,773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3,460,773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3,074,848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 million shares authorized, 0 shares issued and outstanding</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 September 30, 2024 and December 31, 2023, respectively</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$0.001 par value, 30 million shares authorized, 8.9 million shares issued and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 (see Note 9)</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450,620,206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450,329,515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(443,179,554)</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(436,285,863)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7,449,575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14,052,543</w:t>
            </w:r>
          </w:p>
        </w:tc>
        <w:tc>
          <w:tcPr>
            <w:tcW w:w="0" w:type="dxa"/>
            <w:vAlign w:val="bottom"/>
          </w:tcPr>
          <w:p>
            <w:pPr>
              <w:spacing w:after="0"/>
              <w:rPr>
                <w:sz w:val="1"/>
                <w:szCs w:val="1"/>
                <w:color w:val="auto"/>
              </w:rPr>
            </w:pPr>
          </w:p>
        </w:tc>
      </w:tr>
      <w:tr>
        <w:trPr>
          <w:trHeight w:val="20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10,910,348</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17,127,391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left="1000" w:right="2260"/>
        <w:spacing w:after="0" w:line="268" w:lineRule="auto"/>
        <w:rPr>
          <w:sz w:val="20"/>
          <w:szCs w:val="20"/>
          <w:color w:val="auto"/>
        </w:rPr>
      </w:pPr>
      <w:r>
        <w:rPr>
          <w:rFonts w:ascii="Times New Roman" w:cs="Times New Roman" w:eastAsia="Times New Roman" w:hAnsi="Times New Roman"/>
          <w:sz w:val="18"/>
          <w:szCs w:val="18"/>
          <w:b w:val="1"/>
          <w:bCs w:val="1"/>
          <w:color w:val="auto"/>
        </w:rPr>
        <w:t>MARKER THERAPEUTICS, INC. CONDENSED CONSOLIDATED STATEMENTS OF OPERATIONS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income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1,926,020</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4,339,317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1,926,020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257,606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4,339,317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3,471,216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8,381,661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854,677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1,412,672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3,214,611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4,325,893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3,457,652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11,596,272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(2,399,873)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(3,200,046)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(7,256,955)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218,085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363,264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(2,981,961)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(6,893,691)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disposal of discontinued operations before income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(2,308,192)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(2,981,961)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(6,893,691)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(5,433,748)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 earnings per share: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from continuing operations, basic and diluted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Income from discontinued operations, basic</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Income from discontinued operations, diluted</w:t>
            </w: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Net loss per share</w:t>
            </w:r>
          </w:p>
        </w:tc>
        <w:tc>
          <w:tcPr>
            <w:tcW w:w="3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8,923,170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8,825,881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8,914,487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8,923,170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8,825,881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8,914,487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8,834,512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200" w:type="dxa"/>
            <w:vAlign w:val="bottom"/>
            <w:gridSpan w:val="5"/>
            <w:vMerge w:val="restart"/>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0"/>
                <w:szCs w:val="10"/>
                <w:color w:val="auto"/>
              </w:rPr>
            </w:pPr>
          </w:p>
        </w:tc>
        <w:tc>
          <w:tcPr>
            <w:tcW w:w="13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2200" w:type="dxa"/>
            <w:vAlign w:val="bottom"/>
            <w:tcBorders>
              <w:bottom w:val="single" w:sz="8" w:color="auto"/>
            </w:tcBorders>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04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2"/>
                <w:szCs w:val="12"/>
                <w:color w:val="auto"/>
              </w:rPr>
            </w:pPr>
          </w:p>
        </w:tc>
        <w:tc>
          <w:tcPr>
            <w:tcW w:w="12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July 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8,922,695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8,922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450,565,204</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(440,871,362)</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9,702,764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from exercise of stock</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(2,308,192)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(2,308,192)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8,923,490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8,923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450,620,206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(443,179,554)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7,449,575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200" w:type="dxa"/>
            <w:vAlign w:val="bottom"/>
            <w:gridSpan w:val="5"/>
            <w:vMerge w:val="restart"/>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0"/>
                <w:szCs w:val="10"/>
                <w:color w:val="auto"/>
              </w:rPr>
            </w:pPr>
          </w:p>
        </w:tc>
        <w:tc>
          <w:tcPr>
            <w:tcW w:w="13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2200" w:type="dxa"/>
            <w:vAlign w:val="bottom"/>
            <w:tcBorders>
              <w:bottom w:val="single" w:sz="8" w:color="auto"/>
            </w:tcBorders>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04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2"/>
                <w:szCs w:val="12"/>
                <w:color w:val="auto"/>
              </w:rPr>
            </w:pPr>
          </w:p>
        </w:tc>
        <w:tc>
          <w:tcPr>
            <w:tcW w:w="12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8,891,420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8,891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450,329,515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(436,285,863)</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14,052,543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purchased pursuant to ATM agreement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from exercise of stock</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(6,893,691)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(6,893,691)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8,923,490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8,923</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450,620,206</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(443,179,554)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7,449,575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200" w:type="dxa"/>
            <w:vAlign w:val="bottom"/>
            <w:gridSpan w:val="5"/>
            <w:vMerge w:val="restart"/>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0"/>
                <w:szCs w:val="10"/>
                <w:color w:val="auto"/>
              </w:rPr>
            </w:pPr>
          </w:p>
        </w:tc>
        <w:tc>
          <w:tcPr>
            <w:tcW w:w="13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2200" w:type="dxa"/>
            <w:vAlign w:val="bottom"/>
            <w:tcBorders>
              <w:bottom w:val="single" w:sz="8" w:color="auto"/>
            </w:tcBorders>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04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2"/>
                <w:szCs w:val="12"/>
                <w:color w:val="auto"/>
              </w:rPr>
            </w:pPr>
          </w:p>
        </w:tc>
        <w:tc>
          <w:tcPr>
            <w:tcW w:w="12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July 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8,799,173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8,799</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449,526,789</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(430,500,836)</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19,034,752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from exercise of stock</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 purchased pursuant to ATM agreement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(2,981,961)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(2,981,961)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8,889,020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8,888</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450,181,012</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(433,482,797)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16,707,103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200" w:type="dxa"/>
            <w:vAlign w:val="bottom"/>
            <w:gridSpan w:val="5"/>
            <w:vMerge w:val="restart"/>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0"/>
                <w:szCs w:val="10"/>
                <w:color w:val="auto"/>
              </w:rPr>
            </w:pPr>
          </w:p>
        </w:tc>
        <w:tc>
          <w:tcPr>
            <w:tcW w:w="13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2200" w:type="dxa"/>
            <w:vAlign w:val="bottom"/>
            <w:tcBorders>
              <w:bottom w:val="single" w:sz="8" w:color="auto"/>
            </w:tcBorders>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04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2"/>
                <w:szCs w:val="12"/>
                <w:color w:val="auto"/>
              </w:rPr>
            </w:pPr>
          </w:p>
        </w:tc>
        <w:tc>
          <w:tcPr>
            <w:tcW w:w="12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8,405,771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8,406</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447,641,680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(428,049,049)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19,601,037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purchased pursuant to ATM and Lincoln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Park agreements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1,014,363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as commitment fee for</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future financing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from exercise of stock</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1,439,832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1,439,832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(5,433,748)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(5,433,748)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Fractional shares adjustment due to reverse split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8,889,020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8,888</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450,181,012</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(433,482,797)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16,707,103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MARKER THERAPEUTICS, INC. CONDENSED CONSOLIDATED STATEMENTS OF CASH FLOWS (UNAUDITED)</w:t>
      </w:r>
    </w:p>
    <w:p>
      <w:pPr>
        <w:spacing w:after="0" w:line="182"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(6,893,691)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(5,433,748)</w:t>
            </w: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gain from discontinued operations, net of tax</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5,872,020</w:t>
            </w:r>
          </w:p>
        </w:tc>
      </w:tr>
      <w:tr>
        <w:trPr>
          <w:trHeight w:val="209"/>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(6,893,691)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(11,305,768)</w:t>
            </w: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714,899</w:t>
            </w: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(178,148)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(80,116)</w:t>
            </w:r>
          </w:p>
        </w:tc>
      </w:tr>
      <w:tr>
        <w:trPr>
          <w:trHeight w:val="21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2,318,691</w:t>
            </w: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party payable</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367,915</w:t>
            </w:r>
          </w:p>
        </w:tc>
      </w:tr>
      <w:tr>
        <w:trPr>
          <w:trHeight w:val="21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(159,567)</w:t>
            </w: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107,530</w:t>
            </w:r>
          </w:p>
        </w:tc>
      </w:tr>
      <w:tr>
        <w:trPr>
          <w:trHeight w:val="209"/>
        </w:trPr>
        <w:tc>
          <w:tcPr>
            <w:tcW w:w="73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 - continuing operations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(6,207,189)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(8,036,416)</w:t>
            </w:r>
          </w:p>
        </w:tc>
      </w:tr>
      <w:tr>
        <w:trPr>
          <w:trHeight w:val="216"/>
        </w:trPr>
        <w:tc>
          <w:tcPr>
            <w:tcW w:w="7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 - discontinued operations</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(6,035,961)</w:t>
            </w:r>
          </w:p>
        </w:tc>
      </w:tr>
      <w:tr>
        <w:trPr>
          <w:trHeight w:val="210"/>
        </w:trPr>
        <w:tc>
          <w:tcPr>
            <w:tcW w:w="73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(6,207,189)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(14,072,377)</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investing activities - discontinued operations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18,664,122</w:t>
            </w:r>
          </w:p>
        </w:tc>
      </w:tr>
      <w:tr>
        <w:trPr>
          <w:trHeight w:val="209"/>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18,664,122</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1,014,640</w:t>
            </w: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stock options exercise</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85,342</w:t>
            </w:r>
          </w:p>
        </w:tc>
      </w:tr>
      <w:tr>
        <w:trPr>
          <w:trHeight w:val="210"/>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1,099,982</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(6,111,786)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5,691,727</w:t>
            </w:r>
          </w:p>
        </w:tc>
      </w:tr>
      <w:tr>
        <w:trPr>
          <w:trHeight w:val="21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15,111,450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11,782,172</w:t>
            </w:r>
          </w:p>
        </w:tc>
      </w:tr>
      <w:tr>
        <w:trPr>
          <w:trHeight w:val="21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8,999,664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17,473,899</w:t>
            </w: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 tumor associated antigen (multiTAA”)-specific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 with Cell Ready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26, 2023, the Company completed the previously announced transaction with Cell Ready, LLC (“Cell Ready”) pursuant to a Purchase Agreement (the “Cell Ready Purchase Agreement), dated May 1, 2023, by and between the Company and Cell Ready. Mr. John Wilson is a member of the Company’s board of directors and is serving as the CEO of Cell Ready, therefore Cell Ready is a related party. Pursuant to the Cell Ready Purchase Agreement, effective as of the Closing Date, the Company (i) assigned to Cell Ready the leases for the Company’s two manufacturing facilities in Houston, Texas (the “Manufacturing Facilities”), (ii) sold to Cell Ready all of the equipment and leasehold improvements at the Manufacturing Facilities and (iii) assigned to Cell Ready its rights, title and interest in the Company’s Master Services Agreement for Product Supply (the “MSA”), dated April 7, 2023, by and between the Company, Cell Ready and Indapta Therapeutics, Inc., as well as its rights, title and interest in any contracts related to the equipment and Manufacturing Facilities (collectively, the “Purchased Assets”). Cell Ready acquired the Purchased Assets for total consideration of $19.0 million. In connection with the purchase of the Manufacturing Facilities, Cell Ready also extended offers of employment to approximately 50 of the Company’s former employees in its manufacturing, development, quality, and regulatory affairs functions.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Purchased Assets constituted a significant disposition. Based upon the magnitude of the disposition and because the Company is exiting certain manufacturing operations, the disposition represents a significant strategic shift that will have a material effect on the Company’s operations and financial results. Accordingly, the assets sold meet the definition of a discontinued operation, as defined by Accounting Standards Codification (“ASC”) 205-20 – Discontinued Operations, and prior comparative periods have been retroactively adjusted to reflect the current presentation. See additional discussion at Note 7.</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22, 2024, we entered into a Master Services Agreement for Product Supply (the “MSA”) with Cell Ready to provide outsourced services previously performed by the Company prior to its asset sale to Cell Ready. Cell Ready, which is owned by one of our directors and shareholders, Mr. John Wilson, is a contract development and manufacturing organization (CDMO). Under the MSA, it is anticipated Cell Ready will perform a wide variety of services for us, including research and development, and manufacturing in support of our clinical trials. 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Changes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the Company implemented changes to its organizational structure due to the transaction with Cell Ready and to reduce operational costs.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 Effective May 1, 2023, the Company’s board of directors appointed Dr. Juan Vera as the Company’s President and Chief Executive Officer.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June 30, 2023, the board of directors appointed Eliot M. Lurier as the Company’s Interim Chief Financial Officer, whereby Mr. Lurier provided consulting services to the Company pursuant to a consulting agreement between the Company and Danforth Advisors, LLC (“Danforth”) and received no compensation directly from the Company. On November 17, 2023, the Company terminated the consulting agreement between the Company and Danforth, effective January 16,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17, 2023, Mr. Lurier ceased serving as the Company’s Interim Chief Financial Officer and Dr. Vera was appointed as the Company’s Principal Financial and Accounting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26, 2023, the Company effected a one-for-ten (1-for-10) reverse stock split of its common stock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 (see Note 7 for information on discontinued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for the unaudited condensed consolidated statement of operations are not necessarily indicative of results to be expected for the year ending December 31, 2024, or for any future interim period. The condensed consolidated balance sheet at December 31, 2023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2023 and notes thereto included in the Company’s annual report on Form 10-K filed on March 26,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presented in prior periods have been reclassified to conform to the current period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LIQUIDITY AND FINANCIAL CONDITION</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September 30, 2024, the Company had cash and cash equivalents of approximately $9.0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debt financings and grants. In August 2021, the Company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are entitled to compensation under the Sales Agreement at a commission rate equal to 3.0% of the gross sales price per share sold under the ATM Agreement, and we have provided each of the Sales Agents with indemnification and contribution rights. During the nine months ended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September 30, 2024, the Company sold 8,178 shares of its common stock under the ATM Agreement for proceeds of $0.04 million. On June 10, 2024, the Company provided notice of its termination of the ATM Agreement with Cantor Fitzgerald &amp; Co. and RBC Capital Markets, LLC. The Company is not subject to any termination penalties related to the termination of the ATM Agreement. The Company is currently considering more effective ways to improve market access to its equity.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the Cancer Prevention and Research Institute of Texas (“CPRIT”) to support the Company’s clinical investigation of MT-401. Through the date of this filing, the Company has received $9.7 million of funds from the CPRIT grant. The Company recorded $0.9 million and $2.4 million of grant income related to the CPRIT grant as revenue for the three and nine months ended September 30, 2024, respectively. As of September 30, 2024, the Company recorded $0.1 million of grant income receivable, which represented grant income earned in advance of funds to be received from CPRIT.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2022, the Company received notice from the U.S. Food and Drug Administration (the “FDA”) that it had awarded the Company a $2.0 million grant from the FDA’s Orphan Products Grant program to support the Company’s clinical investigation of MT-401 for the treatment of post-transplant AML. Through the date of this filing, the Company has received $1.0 million from the FDA grant. The Company recorded $0.02 million and $0.5 million of grant income related to the FDA grant as revenue for the three and nine months ended September 30, 2024, respectively. As of September 30, 2024, the Company recorded $0.02 million of grant income receivable, which represented grant income earned in advance of funds to be received from the FDA. In October 2024, the Company received $0.02 million of funds from the FDA grant.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2023, the Company received notice of a $2.0 million grant from the National Institutes of Health Small Business Innovation Research (“SBIR”) program to support the development and investigation of MT-401 for the treatment of AML patients following standard-of-care therapy with hypomethylating agents. Through the date of this filing, the Company has received $0.9 million from SBIR. The Company recorded $0.3 million and $0.7 million of grant income related to the SBIR grant as revenue for the three and nine months ended September 30, 2024. As of September 30, 2024, the Company recorded $0.3 million as other receivable, which represented grant income earned in advance of funds to be received from the SBIR. In October 2024, the Company received $0.3 million of funds from the SBIR grant.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2 - year period from the National Institutes of Health - National Cancer Institute to support control over tumor immune escape in pancreatic cancer using a dual T cell product strategy. Through the date of this filing, the Company has not received any funds from this grant.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National Institutes of Health Small Business Innovation Research Program to support the clinical investigation of MT-601 in patients with non-Hodgkin’s lymphoma (NHL) who have relapsed following anti-CD19 chimeric antigen receptor (CAR) T cell therapy. Through the date of this filing, the Company has received $0.7 million of funds from this grant. The Company recorded $0.7 million of grant income related to this grant as revenue for the three and nine months ended September 30, 2024. As of September 30, 2024, the Company recorded $0.3 million as other receivable, which represented grant income earned in advance of funds to be received from the SBIR. In October 2024, the Company received $0.3 million of funds from the SBIR lymphoma grant.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National Institutes of Health SBIR Program to support the advancement of MT-601 in patients with pancreatic cancer. Through the date of this filing, the Company has received an immaterial amount of funds from this grant.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1, on June 26, 2023, the Company completed the transaction with Cell Ready pursuant to the Cell Ready Purchase Agreement for total consideration of $19.0 million. On February 22, 2024, the Company entered into a Master Services Agreement for Product Supply (the “MSA”) with Cell Ready, a contract development and manufacturing organization (CDMO). Under the MSA, it is anticipated Cell Ready will perform a wide variety of services for us, including research and development, and manufacturing in support of our clinical trials. Pursuant to the MSA, the Company may contract with Cell Ready for the provision of various products and services from time to time by entering into work orders with Cell Ready (See Note 13).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continue to incur substantial losses over the next several years during its development phase.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Company’s clinical and research and development plans and its timing expectations related to the progress of its programs, the Company anticipates that its cash and cash equivalents as of September 30, 2024, including drawdowns of available grant funds, will enable the Company to fund its operating expenses and capital expenditure requirements into October 2025. This estimate is subject to the Company’s ability to effectively manage its costs, raise additional capital, and utilize drawdowns of anticipated grant funds.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92"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Initiates, continues, or accelerates clinical trials of its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the research and development of its product candidates and seeks to discover additional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and enforces intellectual property rights;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contract manufacturing arrangements with Cell Ready or other contract manufacturing organizations for clinical manufacturing supply;</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sales, marketing and distribution infrastructure and scale-up manufacturing capabilities to commercialize any product candidates that may receive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strategic transactions the Company may undertake;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sufficient sources of revenue to provide incoming cash flows to sustain its future operations. As outlined above, the Company’s ability to pursue its long-term planned business activities is dependent upon its successful efforts to raise additional capital and grant income.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factors raise substantial doubt regarding the Company’s ability to continue as a going concern. The Company’s condensed consolidated financial statements have been prepared on a going concern basis, which implies that the Company will continue to realize its assets and discharge its liabilities in the normal course of business. The Company’s financial statements do not include any adjustments to the recoverability and classification of recorded asset amounts and classification of liabilities that might be necessary should the Company be unable to continue as a going concern.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foregoing, the current macro-economic environment of decades-high inflation and concerns about an economic recession in the United States or other major markets have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highly liquid investments with a maturity of three months or less when purchased to be cash equivalents. Cash and cash equivalents at September 30, 2024 consisted of cash and certificates of deposit in institutions in the United States. Balances at certain institutions have exceeded Federal Deposit Insurance Corporation insured limits and U.S. government agency securities.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cash in accounts which are in excess of the Federal Deposit Insurance Corporation (“FDIC”) insured limits of $250,000. As of September 30, 2024, the Company had approximately $4.1 million in cash at financial institutions and approximately $4.9 million in U.S. government agency securities, for aggregate cash and cash equivalents of $9.0 million. As of December 31, 2023, the Company had approximately $1.4 million in cash at financial institutions and approximately $13.7 million in U.S. government agency securities, for aggregate cash and cash equivalents of $15.1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cash is received from grants in advance of incurring qualifying costs, it is recorded as restricted cash until it is earned and recorded to grant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Purchased Assets sold to Cell Ready pursuant to the Cell Ready Purchase Agreement constituted a significant disposition and as such, the Company concluded that the disposition of its Purchased Assets represented a strategic shift that had a major effect on its operations and financial results. Therefore, the Purchased Assets, related party revenue, service revenue and related expenses are classified as discontinued operations for all periods presented herein. See Note 7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Reportable Segment Disclosures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No. 2023-07, Segment Reporting (Topic 280): Improvements to Reportable Segment Disclosures. The ASU requires disclosures to include significant segment expenses that are regularly provided to the chief operating decision maker, among other provisions. Public entities with a single reportable segment, such as the Company, are required to provide the new disclosures and all the disclosures required under ASC 280. The ASU is effective for fiscal year periods beginning after December15, 2023, and interim periods within fiscal years beginning after December 15, 2024. Early adoption is permitted, and the ASU requires retrospective application to all prior periods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presented in the financial statements. The Company is currently evaluating the standard to determine the impact of adoption to its consolidated financial statements and disclosures.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We do not expect the adoption of this guidance to have a material impact on the Company’s consolidated financial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to those previously disclosed in the Annual Report on Form 10-K for the year ended December 31, 2023 filed on March 26,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net loss per share for the three and nine months ended September 30, 2024 and 2023,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(2,308,192)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(2,981,961)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(6,893,691)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5,872,020</w:t>
            </w:r>
          </w:p>
        </w:tc>
        <w:tc>
          <w:tcPr>
            <w:tcW w:w="0" w:type="dxa"/>
            <w:vAlign w:val="bottom"/>
          </w:tcPr>
          <w:p>
            <w:pPr>
              <w:spacing w:after="0"/>
              <w:rPr>
                <w:sz w:val="1"/>
                <w:szCs w:val="1"/>
                <w:color w:val="auto"/>
              </w:rPr>
            </w:pPr>
          </w:p>
        </w:tc>
      </w:tr>
      <w:tr>
        <w:trPr>
          <w:trHeight w:val="25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(2,308,192)</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(2,981,961)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(6,893,691)</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(5,433,748)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8,923,170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8,825,881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8,914,487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8,923,170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8,825,881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8,914,487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(loss) per share: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from discontinued operations, basic</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gridSpan w:val="2"/>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from discontinued operations, 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1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securities, rounded to the nearest thousand, were not included in the diluted net loss per share calculation because their effect was anti-dilutive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3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20" w:type="dxa"/>
            <w:vAlign w:val="bottom"/>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5400" w:type="dxa"/>
            <w:vAlign w:val="bottom"/>
          </w:tcPr>
          <w:p>
            <w:pPr>
              <w:spacing w:after="0"/>
              <w:rPr>
                <w:sz w:val="15"/>
                <w:szCs w:val="15"/>
                <w:color w:val="auto"/>
              </w:rPr>
            </w:pPr>
          </w:p>
        </w:tc>
        <w:tc>
          <w:tcPr>
            <w:tcW w:w="23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20" w:type="dxa"/>
            <w:vAlign w:val="bottom"/>
            <w:gridSpan w:val="3"/>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4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748,000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purchase warrants</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1,848,000</w:t>
            </w: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1,848,000</w:t>
            </w:r>
          </w:p>
        </w:tc>
      </w:tr>
      <w:tr>
        <w:trPr>
          <w:trHeight w:val="209"/>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2,596,000</w:t>
            </w:r>
          </w:p>
        </w:tc>
      </w:tr>
      <w:tr>
        <w:trPr>
          <w:trHeight w:val="20"/>
        </w:trPr>
        <w:tc>
          <w:tcPr>
            <w:tcW w:w="5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RECEIVABLE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Qualifying grant income earned in advance of cash received from grants is recognized as revenue and recorded as other receivable. The Company recorded $0.9 million and $2.4 million of grant income related to the CPRIT grant for the three and nine months ended September 30, 2024, respectively. At September 30, 2024, the Company recorded $0.1 million of grant income receivable related to the CPRIT grant.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recorded $0.02 million and $1.0 million of grant income related to the FDA and SBIR grants, respectively, for the three months ended September 30, 2024. The Company recorded $0.5 million and $1.4 million of grant income related to the FDA and SBIR grants, respectively, for the nine months ended September 30, 2024. At September 30, 2024, the Company recorded $0.02 million and $0.6 million of grant income receivable related to the FDA and SBIR grants, respectively.</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the Company received payments of $0.02 million and $0.6 million from the FDA grant and all SBIR grants,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DISCONTINUED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1, on June 26, 2023, the Company completed the previously announced transaction with Cell Ready for cash consideration of $19.0 million, resulting in derecognition of the Purchased Assets and a gain on sale of approximately $8.7 million, net of $63,000 in tax. There were no remaining assets and liabilities classified in discontinued operations as of September 30, 2024 or December 31, 2023.</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no activity related to discontinued operations for the three and nine months ended September 30, 2024. Net loss from discontinued operations for the three and nine months ended September 30, 2023, was as follows:</w:t>
      </w:r>
    </w:p>
    <w:p>
      <w:pPr>
        <w:spacing w:after="0" w:line="12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49"/>
        </w:trPr>
        <w:tc>
          <w:tcPr>
            <w:tcW w:w="3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14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73"/>
        </w:trPr>
        <w:tc>
          <w:tcPr>
            <w:tcW w:w="378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Revenue</w:t>
            </w:r>
          </w:p>
        </w:tc>
        <w:tc>
          <w:tcPr>
            <w:tcW w:w="158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816,641</w:t>
            </w:r>
          </w:p>
        </w:tc>
      </w:tr>
      <w:tr>
        <w:trPr>
          <w:trHeight w:val="216"/>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Related party service revenue</w:t>
            </w:r>
          </w:p>
        </w:tc>
        <w:tc>
          <w:tcPr>
            <w:tcW w:w="1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4,316,641</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6,561,957</w:t>
            </w:r>
          </w:p>
        </w:tc>
      </w:tr>
      <w:tr>
        <w:trPr>
          <w:trHeight w:val="216"/>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677,090</w:t>
            </w:r>
          </w:p>
        </w:tc>
      </w:tr>
      <w:tr>
        <w:trPr>
          <w:trHeight w:val="209"/>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7,239,048</w:t>
            </w:r>
          </w:p>
        </w:tc>
      </w:tr>
      <w:tr>
        <w:trPr>
          <w:trHeight w:val="210"/>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(2,922,406)</w:t>
            </w:r>
          </w:p>
        </w:tc>
      </w:tr>
      <w:tr>
        <w:trPr>
          <w:trHeight w:val="20"/>
        </w:trPr>
        <w:tc>
          <w:tcPr>
            <w:tcW w:w="3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related to discontinued operations for the nine months ended September 30, 2023:</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48"/>
        </w:trPr>
        <w:tc>
          <w:tcPr>
            <w:tcW w:w="66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73"/>
        </w:trPr>
        <w:tc>
          <w:tcPr>
            <w:tcW w:w="6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(6,036,000)</w:t>
            </w:r>
          </w:p>
        </w:tc>
      </w:tr>
      <w:tr>
        <w:trPr>
          <w:trHeight w:val="216"/>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18,664,000</w:t>
            </w: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12,628,000</w:t>
            </w: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Service Revenue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2022, the Company entered into a binding services agreement (“Wilson Wolf Agreement”) with Wilson Wolf Manufacturing Corporation (“Wilson Wolf”). Mr. John Wilson is a member of the Company’s board of directors and is serving as the CEO of Wilson Wolf. Wilson Wolf is in the business of creating products and services intended to simplify and expedite the transition of cell therapies and gene-modified cell therapies to mainstream society (the “Wilson Wolf Mission”). Pursuant to the Wilson Wolf Agreement, Wilson Wolf made a cash payment to the Company in the amount of $8.0 million, as consideration for certain training and research services.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2023, the Company recognized the final $2.5 million of revenue pursuant to this $8.0 million agreement and an additional $1.0 million because certain agreed milestones were met. Payment of the additional $1.0 million was received in May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ACCOUNTS PAYABLE, ACCRUED LIABILITIES AND RELATED PARTY PAYABLE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payable, accrued liabilities, and related party payable consist of the following as of September 30, 2024 and December 31, 2023,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961,000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303,000</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219,000</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204,000</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205,000</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payable, accrued liabilities and related party payable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3,461,000</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3,075,000</w:t>
            </w: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$0.9 million and $1.3 million related-party payable as of September 30, 2024 and December 31, 2023, respectively, primarily reflects amounts payable to Cell Ready for outsourced product development and manufacturing services. See Note 13: Related Party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26, 2023, the Company effected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Stock Pursuant to ATM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8,178 shares of its common stock under the ATM Agreement for gross proceeds of $37,000. During the nine months ended September 30, 2023, the Company sold 265,334 shares of its common stock under the ATM Agreement for gross proceeds of $1.0 million. On June 10, 2024, the Company provided notice of its termination of the ATM Agreement with Cantor Fitzgerald &amp; Co. and RBC Capital Markets, LLC. The Company is currently considering more effective ways to improve market access to its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Purchase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2022, the Company entered into a purchase agreement (the “Purchase Agreement”) with Lincoln Park which provides that, upon the terms and subject to the conditions of the agreement, the Company had the right, but not the obligation, to sell to Lincoln Park up to $25,000,000 of shares of its common stock (the “Purchase Shares”) from time to time over a 24-month term, at a variable price with certain market-based terms as defined in the Purchase Agreement. The Purchase Agreement does not exhibit any of the characteristics for liability classification under ASC Topic 480, Distinguishing Liabilities from Equity. Instead, the purchase agreement was indexed to the Company’s own stock under ASC Subtopic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and classified as equity. In January 2023, Lincoln Park was issued 180,410 shares of stock as a commitment fee at a value of $0.5 million. During the nine months ended September 30, 2023, the Company sold 12,500 shares of its common stock under the Purchase Agreement for gross proceeds of approximately $33,000. The Company terminated the Purchase Agreement with Lincoln Park on February 29, 2024, effective March 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Exercise of Stock Options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certain outstanding options were exercised for 23,892 shares of common stock, providing aggregate proceeds to the Company of approximately $59,000.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Equity Incentive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equity incentive awards issued during the three and nine months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nine months ended September 30, 2024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Intrinsic Value</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3"/>
            <w:vMerge w:val="continue"/>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737,895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1,317,000</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Canceled/Expired</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(117,670)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596,333</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291,000</w:t>
            </w:r>
          </w:p>
        </w:tc>
        <w:tc>
          <w:tcPr>
            <w:tcW w:w="14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exercisable</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386,062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33.76</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109,000</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expenses recorded during the respective periods: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3"/>
                <w:szCs w:val="13"/>
                <w:color w:val="auto"/>
              </w:rPr>
            </w:pPr>
          </w:p>
        </w:tc>
        <w:tc>
          <w:tcPr>
            <w:tcW w:w="2320" w:type="dxa"/>
            <w:vAlign w:val="bottom"/>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4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5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60" w:type="dxa"/>
            <w:vAlign w:val="bottom"/>
          </w:tcPr>
          <w:p>
            <w:pPr>
              <w:spacing w:after="0"/>
              <w:rPr>
                <w:sz w:val="18"/>
                <w:szCs w:val="18"/>
                <w:color w:val="auto"/>
              </w:rPr>
            </w:pPr>
          </w:p>
        </w:tc>
        <w:tc>
          <w:tcPr>
            <w:tcW w:w="4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299,000</w:t>
            </w: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416,000</w:t>
            </w: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in continuing operations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715,000</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in discontinued operations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stock compensation expenses</w:t>
            </w:r>
          </w:p>
        </w:tc>
        <w:tc>
          <w:tcPr>
            <w:tcW w:w="6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1,440,000</w:t>
            </w:r>
          </w:p>
        </w:tc>
      </w:tr>
      <w:tr>
        <w:trPr>
          <w:trHeight w:val="20"/>
        </w:trPr>
        <w:tc>
          <w:tcPr>
            <w:tcW w:w="4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total stock-based compensation cost related to unvested awards not yet recognized was $0.2 million. The expected weighted average period for compensation costs to be recognized was approximately 1.8 years. Future option grants will impact the compensation expense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GRANT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CPRIT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CPRIT to support the Company’s clinical investigation of MT-401.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restricted cash is received from grants in advance of incurring qualifying costs, it is recorded as deferred revenue and recognized as revenue when qualifying costs are incurred. There was no restricted cash recorded as of September 30, 2024, and December 31, 2023. If qualifying grant income is earned in advance of cash received from grants, it is recognized as revenue and recorded as other receivable.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$0.9 million and $2.4 million of grant income related to the CPRIT grant as revenue for the three and nine months ended September 30, 2024, respectively. As of September 30, 2024, the Company recorded $0.1 million as other receivable, which represented grant income earned in advance of funds to be received from CPRIT.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FDA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2022, the Company received notice from the FDA that it had awarded the Company a $2.0 million grant from the FDA’s Orphan Products Grant program to support the Company’s clinical investigation of MT-401 for the treatment of post-transplant AML. The Company recorded $0.02 million and $0.5 million of grant income related to the FDA grant as revenue for the three and nine months ended September 30, 2024, respectively. As of September 30, 2024, the Company recorded $0.02 million as other receivable, which represented grant income earned in advance of funds to be received from the FDA. In October 2024, the Company received $0.02 million of funds from the FDA grant.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SBIR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2023, the Company announced it had received a $2.0 million grant from the National Institutes of Health Small Business Innovation Research program to support the development and investigation of MT-401 for the treatment of AML patients following standard-of-care therapy with hypomethylating agents. The Company recorded $0.3 million and $0.7 million of grant income related to this grant as revenue for the three and nine months ended September 30, 2024, respectively. As of September 30, 2024, the Company recorded $0.3 million as other receivable, which represented grant income earned in advance of funds to be received from the SBIR. In October 2024, the Company received $0.3 million of funds from the SBIR grant.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National Institutes of Health Small Business Innovation Research Program to support the clinical investigation of MT-601 in patients with non-Hodgkin’s lymphoma (NHL) who have relapsed following anti-CD19 chimeric antigen receptor (CAR) T cell therapy. The Company recorded $0.7 million of grant income related to this grant as revenue for the three and nine months ended September 30, 2024. As of September 30, 2024, the Company recorded $0.3 million as other receivable, which represented grant income earned in advance of funds to be received from the SBIR. In October 2024, the Company received $0.3 million of funds from the SBIR lymphoma grant.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related party transaction expenses recorded for the three and nine months ended September 30, 2024 and 2023,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2040" w:type="dxa"/>
            <w:vAlign w:val="bottom"/>
            <w:gridSpan w:val="5"/>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5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Baylor College of Medicine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Cell Ready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368,000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368,000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Wilson Wolf Manufacturing Corporation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277,000</w:t>
            </w: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1,235,000</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368,000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658,000</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$0.9 million of related party transactions are included in accounts payable and accrued liabilities as of September 30, 2024. See Note 8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Agreements with The Baylor College of Medicine (“BCM”)</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2018, January 2020 and February 2020, the Company entered in Sponsored Research Agreements with BCM, which provided for the conduct of research for the Company by credentialed personnel at BCM’s Center for Cell and Gene Therapy.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2019, May 2020 and July 2021, the Company entered into Clinical Supply Agreements with BCM, which provided for BCM to provide to the Company multi tumor antigen specific 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2020, the Company entered into a Clinical Trial Agreement with BCM, which provided for BCM to provide to the Company investigator-initiated research studies.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a Clinical Site Agreement with BCM, which provided for BCM to conduct clinical trials for the Company and is a part of continuing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BCM owns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Purchases from Wilson Wolf</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2023, the Company utilized Wilson Wolf for the purchases of cell culture devices called G-Rexes. Mr. John Wilson is a member of the Company’s board of directors and is serving as the CEO of Wilson Wolf Manufacturing Corporation.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Purchases from Cell Ready, LLC</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currently utilizing Cell Ready, LLC for its clinical manufacturing supply and product development. Mr. John Wilson is a member of the Company’s board of directors and is serving as the CEO of Cell Ready, LLC. On February 22, 2024, we entered into a 3– year Master Services Agreement for Product Supply (the “MSA”) with Cell Ready. Cell Ready, which is owned by one of our directors and shareholders, Mr. John Wilson, is a contract development and manufacturing organization (CDMO). Under the MSA, it is anticipated Cell Ready will perform a wide variety of services for us, including research and development, and manufacturing in support of our clinical trials. 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entered into Work Order #1 under the MSA, pursuant to which Cell Ready agreed to provide the Company with GMP drug product for Marker MT-401 and/or MT-601. The services include the delivery of final drug product and quality control testing. The Company also requested Cell Ready to provide general support services in connection therewith. During the three and nine months ended September 30, 2024, the Company incurred $1.2 million and $3.1 million, respectively, in expenses related to the services and manufacturing costs and paid $0.5 million and $3.4 million, respectively, for invoices received. Additional Work Orders are expected to be generated for the remainder of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and transactions that occurred up to the date unaudited condensed consolidated financial statements were issued. Based upon this review, the Company did not identify any subsequent events that would have required adjustment to or disclosure in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should be read in conjunction with our unaudited condensed consolidated interim financial statements and related notes included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tumor associated antigen (“multiTAA”)-specific 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multiTAA-specific 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multiTAA-specific T cells are designed to kill cancer cells expressing the TAA and potentially recruit the patient’s immune system to participate in the cancer killing process.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licensed the underlying technology for multiTAA-specific 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advancing two product candidates for 3 clinical indications as part of our multiTAA-specific T cell program for:</w:t>
      </w:r>
    </w:p>
    <w:p>
      <w:pPr>
        <w:spacing w:after="0" w:line="225"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multiTAA product for the treatment of lymphoma and pancreatic cancer (MT-601)</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(OTS) product in various indications (e.g., MT-401-OTS)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genetically engineer our multiTAA-specific T cell therapies and we believe that our product candidates are superior to T cells engineered with chimeric antigen receptors, or CAR-T, for several reasons including:</w:t>
      </w:r>
    </w:p>
    <w:p>
      <w:pPr>
        <w:spacing w:after="0" w:line="162" w:lineRule="exact"/>
        <w:rPr>
          <w:sz w:val="20"/>
          <w:szCs w:val="20"/>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targets → enhanced tumoricidal effect→ minimized tumor immune escape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safety → no treatment-related side effects, including immune effector cell-associated neurotoxicity syndrome (ICANS) or other severe adverse effects (SAEs), were attributed to the use of multiTAA-specific T cell therapies to date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Non-genetically engineered T cell products → selective expansion of tumor-specific T cells from a patient’s or donor’s blood capable of recognizing a broad range of tumor antigens → no risk of mutagenesis and reduced manufacturing complexity → lower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123190</wp:posOffset>
            </wp:positionV>
            <wp:extent cx="5863590" cy="1431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these reasons, we believe our endogenous T cell receptor-based therapies may provide meaningful clinical benefit and safety to patients with both hematological and solid tumors.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multiTAA-specific T cell recognition of cancer targets. For example, we are assessing the potential of combining multiTAA-specific T cell products with other products.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2024, we issued a press release announcing that Geoffrey Shouse, D.O., Ph.D., the Principal Investigator at City of Hope National Medical Center in Duarte, CA, was invited to present his clinical experience from the APOLLO study at the 11th Global Summit on Hematologic Malignancies in Whistler, BC, Canada (April 2-7, 2024). Dr. Shouse provided an overview on the clinical observations obtained at City of Hope on Saturday, April 6, 2024, and reported that study participants tolerated initial dose level well and demonstrated durable objective responses after MT-601 treatment.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clinical-stage pipeline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154305</wp:posOffset>
            </wp:positionV>
            <wp:extent cx="5023485" cy="2520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2348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Cell Ready MSA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22, 2024, we entered into a Master Services Agreement for Product Supply (the “MSA”) with Cell Ready LLC (“Cell Ready”) to provide services previously performed by the company until the disposition of its contract development and manufacturing operations. Cell Ready, which is owned by one of our directors and shareholders, Mr. John Wilson, is a contract development and manufacturing organization (CDMO).</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MSA, the Company may contract with Cell Ready for the provision of various products and services from time to time by entering into work orders with Cell Ready. If the services involve the supply of product, Cell Ready is required to supply such product in conformance with the product requirements set forth in the applicable work order(s). The MSA contains customary representations, warranties and indemnification provision. The initial term of the MSA is three years and may be extended upon the mutual written agreement of the parties. Either party may terminate the MSA (a) for material breach by the other party if such breach has not been cured within 30 days following notice of termination or (b) if the other party is the subject of an insolvency event.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MSA, Cell Ready is to use only personnel with sufficient qualifications and experience to supply the services contemplated by the MSA, provide its personnel with adequate training and assume full responsibility for its personnel’s compliance with the MSA. Further, Cell Ready is required to provide the Company with assistance and cooperation in order for the Company to obtain and maintain all necessary regulatory approvals, at the Company’s expense.</w:t>
      </w:r>
    </w:p>
    <w:p>
      <w:pPr>
        <w:spacing w:after="0" w:line="1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With regard to intellectual property, the MSA provides that each party will solely and exclusively own all right, title and interest in and to their Background IP and all inventions derived from such background IP (such invention being referred to as Foreground IP). Background IP means all intellectual property either (a) owned or controlled by a party prior to the effective date of the MSA or (b) developed or acquired by a party independently from performance under the MSA without the use of, reliance on, or access to the other parties confidential information. Furthermore, pursuant to the MSA, Cell Ready grants to the Company a non-exclusive, perpetual, irrevocable, transferable, assignable, fully-paid up, royalty-free, worldwide license to and under any of Cell Ready’s Background IP and Foreground IP to the extent they are incorporated or embedded in any deliverables provided to the Company or in the process of generating or manufacturing such deliverables and reasonably necessary or useful for the Company to make, have made, manufacture, have manufactured, use, have used, offer for sale, sell, import, and otherwise exploit such deliverables. The Company grants to Cell Ready until the termination or expiry of any applicable Work Order and for a period not exceeding the term of the MSA, a non-exclusive,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fully paid-up, non-transferable, non-sublicensable limited license under and to the Company’s Background IP made available to Cell Ready pursuant to a Work Order solely to the extent required for Cell Ready to provide the services under such Work Order.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incurred $1.2 million and $3.1 million in expenses related to the services and manufacturing costs, and paid $0.5 million and $3.4 million related to invoices received, respectively. Additional Work Orders are expected to be generated for the remainder of 2024.</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above description of the MSA does not purport to be complete and is qualified in their entirety by reference to the full text of the MSA and Work Oder #1, copies of which are attached hereto as Exhibits 10.8 and 10.9 and are incorporated herein by reference. The MSA has been filed as an exhibit to the Company’s Annual Report on Form 10-K filed with the SEC on March 26, 2024, to provide investors with information regarding the terms of the MSA and is not intended to modify or supplement any factual disclosures about the Company in its public reports filed with the SEC. In particular, the MSA is not intended to be, and should not be relied upon as, disclosure regarding any facts and circumstances relating to the Company. The representations, warranties, and covenants contained in the MSA have been made solely for the purposes of the MSA and as of specific dates; were solely for the benefit of the parties to the MSA; are not intended as statements of fact to be relied upon by the parties’ shareholders; may no longer be true as of a given date; and may apply standards of materiality in a way that is different from what may be viewed as material by shareholders. Security holders are not third-party beneficiaries under the MSA and should not rely on the representations, warranties, and covenants or any descriptions thereof as characterizations of any actual state of facts or of the condition of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Changes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the Company implemented changes to its organizational structure due to the transaction with Cell Ready and to reduce operational costs.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 Effective May 1, 2023, the Company’s board of directors appointed Dr. Juan Vera as the Company’s President and Chief Executive Officer.</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June 30, 2023, the board of directors appointed Eliot M. Lurier as the Company’s Interim Chief Financial Officer, whereby Mr. Lurier provided consulting services to the Company pursuant to a consulting between the Company and Danforth Advisors, LLC (“Danforth”) and received no compensation directly from the Company. On November 17, 2023, the Company terminated the consulting agreement between the Company and Danforth, effective January 16,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17, 2023, Mr. Lurier ceased serving as the Company’s Interim Chief Financial Officer and Dr. Vera was appointed as the Company’s Principal Financial and Accounting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Reverse Stock Split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26, 2023, the Company effected a one-for-ten (1-for-10) reverse stock split of its common stock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National Institutes of Health SBIR Program to support the advancement of MT-601 in patients with pancreatic cancer. Through the date of this filing, the Company has received an immaterial amount of funds from this grant.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National Institutes of Health Small Business Innovation Research Program to support the clinical investigation of MT-601 in patients with non-Hodgkin’s lymphoma (NHL) who have relapsed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anti-CD19 chimeric antigen receptor (CAR) T cell therapy. Through the date of this filing, the Company has received $0.7 million of funds from this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of our results of operations and financial condition, amounts in financial tables, other than per-share amounts, have been rounded to the nearest thousand.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continuing operations for the three months ended September 30,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4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1,926,000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258,000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1,668,000</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(558,000)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3,458,000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868,000</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(126,000)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(2,308,000)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(2,982,000)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generate any revenue during the three months ended September 30, 2024 and 2023, respectively, from the sales or licensing of our product candidates.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received notice of a Product Development Research award totaling approximately $13.1 million from the Cancer Prevention and Research Institute of Texas (“CPRIT”) to support the clinical investigation of MT-401. During the three months ended September 30, 2024 and 2023, we recognized $0.9 million and $0.2 million of revenue, respectively, associated with the CPRIT grant.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2022, we received notice from the FDA that it had awarded us a $2.0 million grant from the FDA’s Orphan Products Grant program to support the clinical investigation of MT-401 for the treatment of post-transplant AML. During the three months ended September 30, 2024 and 2023, we recognized $0.02 million and $0.02 million of revenue, respectively associated with the FDA grant.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2023, we received notice of a $2.0 million grant from the National Institutes of Health Small Business Innovation Research (“SBIR”) program to support the development and investigation of MT-401 for the treatment of AML patients following standard-of-care therapy with hypomethylating agents. During the three months ended September 30, 2024, we recognized $0.3 million of revenue associated with the SBIR grant. During the three months ended September 30, 2023, no revenue was recognized associated with the SBIR grant.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National Institutes of Health Small Business Innovation Research Program to support the clinical investigation of MT-601 in patients with non-Hodgkin’s lymphoma (NHL) who have relapsed following anti-CD19 chimeric antigen receptor (CAR) T cell therapy. The Company recorded $0.7 million of grant income related to this grant as revenue for the three months ended September 30,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expenses incurred during the three months ended September 30, 2024 were $4.3 million compared to $3.5 million during the same period ended September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and expenditures in operating expenses are outlined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70% to $3.5 million for the three months ended September 30, 2024, compared to $2.0 million for the three months ended September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$1.5 million in 2024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$0.9 million in Cell Ready (outsourced) clinical manufacturing costs and process development expenses,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$0.9 million in clinical trial expenses,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$0.1 million in process development costs, offset by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$0.3 million in headcount-related expenses, including stock-based compensation expense,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$0.1 million in other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39% to $0.9 million for the three months ended September 30, 2024, compared to $1.4 million during the same period ended September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of $0.5 million in 2024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$0.3 million in consulting expenses,</w:t>
      </w:r>
    </w:p>
    <w:p>
      <w:pPr>
        <w:spacing w:after="0" w:line="27"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$0.1 million in headcount-related expenses, including stock-based compensation expense and net of severance expense,</w:t>
      </w: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$0.1 million in legal and professional fees, insurance expense, and other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was $0.1 million and $0.2 million for the three months ended September 30, 2024 and 2023, respectively, and was attributable to interest income relating to funds that are held in U.S. Treasury notes and U.S. government agency-backed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continuing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our net loss from continuing operations during the three months ended September 30, 2024 compared to the three months ended September 30, 2023 was primarily due to cost reductions in our general and administrative expenses, as well as higher grant income. We anticipate that we will continue to incur net losses in the future as we continue to invest in research and development activities, including clinical development of our multiTAA T cell product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continuing operations for the nine months ended September 30,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1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4,339,000</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2,255,000</w:t>
            </w:r>
          </w:p>
        </w:tc>
        <w:tc>
          <w:tcPr>
            <w:tcW w:w="2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2,084,000</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2,084,000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(2,884,000)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(2,301,000)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(11,643,000)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4,385,000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(6,895,000)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(11,305,000)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4,410,000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did not generate any revenue during the nine months ended September 30, 2024 and 2023, respectively, from the sales or licensing of our product candidates.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received notice of a Product Development Research award totaling approximately $13.1 million from the Cancer Prevention and Research Institute of Texas (“CPRIT”) to support the clinical investigation of MT-401. During the nine months ended September 30, 2024 and 2023, we recognized $2.4 million and $2.1 million of revenue, respectively, associated with the CPRIT grant.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2022, we received notice from the FDA that it had awarded us a $2.0 million grant from the FDA’s Orphan Products Grant program to support the clinical investigation of MT-401 for the treatment of post-transplant AML. During the nine months ended September 30, 2024 and 2023, we recognized $0.5 million and $0.2 million of revenue, respectively associated with the FDA grant.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2023, we received notice of a $2.0 million grant from the National Institutes of Health Small Business Innovation Research (“SBIR”) program to support the development and investigation of MT-401 for the treatment of AML patients following standard-of-care therapy with hypomethylating agents. During the nine months ended September 30, 2024, we recognized $0.7 million of revenue associated with the SBIR grant. During the nine months ended September 30, 2023, there was no revenue recognized associated with the SBIR grant.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National Institutes of Health Small Business Innovation Research Program to support the clinical investigation of MT-601 in patients with non-Hodgkin’s lymphoma (NHL) who have relapsed following anti-CD19 chimeric antigen receptor (CAR) T cell therapy. The Company recorded $0.7 million of grant income related to this grant as revenue for the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incurred during the nine months ended September 30, 2024 were $11.6 million compared to $13.9 million during the same period ended September 30,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and expenditures in operating expenses are outlined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7% to $8.4 million for the nine months ended September 30, 2024, compared to $7.8 million for the nine months ended September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$0.6 million in 2024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$2.7 million in Cell Ready (outsourced) clinical manufacturing costs and process development expenses,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$0.6 million in clinical trial expenses, offset by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$1.3 million in headcount-related expenses, including stock-based compensation expense,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$1.0 million in process development expenses,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$0.4 million in other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47% to $3.2 million for the nine months ended September 30, 2024, compared to $6.1 million during the same period ended September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of $2.9 million in 2024 was primarily attributable to the following:</w:t>
      </w:r>
    </w:p>
    <w:p>
      <w:pPr>
        <w:spacing w:after="0" w:line="225" w:lineRule="exact"/>
        <w:rPr>
          <w:sz w:val="20"/>
          <w:szCs w:val="20"/>
          <w:color w:val="auto"/>
        </w:rPr>
      </w:pPr>
    </w:p>
    <w:p>
      <w:pPr>
        <w:ind w:left="680" w:right="20" w:hanging="321"/>
        <w:spacing w:after="0" w:line="26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$1.7 million in headcount-related expenses, including stock-based compensation expense and net of severance expense,</w:t>
      </w: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$0.5 million in legal and professional fees,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$0.3 million in insurance expense,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$0.3 million in other expenses,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$0.1 million in consulting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was $0.3 million and $0.3 million for the nine months ended September 30, 2024 and 2023, respectively, and was attributable to interest income relating to funds that are held in U.S. Treasury notes and U.S. government agency-backed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continuing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our net loss from continuing operations during the nine months ended September 30, 2024 compared to the nine months ended September 30, 2023 was primarily due to cost reductions in our general and administrative expenses, and higher grant income. We anticipate that we will continue to incur net losses in the future as we continue to invest in research and development activities, including clinical development of our multiTAA T cell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revenues from the sales or licensing of our product candidates since inception and only have limited revenue associated with grants to fund research. We have financed our operations primarily through public and private offerings of our stock and debt including warrants and the exercise thereof, grants, and more recently through the cash proceeds received from the Cell Ready transaction and additional grants to fund research.</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clinical and research and development plans and our timing expectations related to the progress of our programs, we anticipate that our cash and cash equivalents as of September 30, 2024, including drawdowns of available grant funds, will enable us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fund our operating expenses and capital expenditure requirements into October 2025. This estimate is subject to our ability to effectively manage our costs, raise additional capital, and utilize drawdowns of anticipated grant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Working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working capital as of September 30, 2024 and 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15,111,000</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2024 and 2023:</w:t>
      </w:r>
    </w:p>
    <w:p>
      <w:pPr>
        <w:spacing w:after="0" w:line="232"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(6,207,000)</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(8,036,000)</w:t>
            </w: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(6,036,000)</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18,664,000</w:t>
            </w:r>
          </w:p>
        </w:tc>
      </w:tr>
      <w:tr>
        <w:trPr>
          <w:trHeight w:val="209"/>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5,692,000</w:t>
            </w:r>
          </w:p>
        </w:tc>
      </w:tr>
      <w:tr>
        <w:trPr>
          <w:trHeight w:val="20"/>
        </w:trPr>
        <w:tc>
          <w:tcPr>
            <w:tcW w:w="7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during the nine months ended September 30, 2024 was $6.2 million. The use of cash primarily related to our net loss from continuing operations of $6.9 million offset by a $0.5 million increase from changes in assets and liabilities and a $0.2 million increase from stock-based compensation.</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during the nine months ended September 30, 2023 was $8.0 million. The changes in cash flow from operating activities during the nine months ended September 30, 2023 were due to $11.3 million of net losses from continuing operations, offset by a $2.6 million increase from changes in operating assets and liabilities and a $0.7 million increase from stock-based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$0.1 million and $1.1 million during the nine months ended September 30, 2024 and 2023, respectively, due to the net proceeds from sale of common stock as well as the exercise of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from discontinued operations during the nine months ended September 30, 2023 was $6.0 million, which primarily related to our gain from discontinued operations of $5.9 million and stock-based compensation expense in discontinued operations of $0.7 million, offset by $12.6 million of changes in assets and liabilities in discontinued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from discontinued operations during the nine months ended September 30, 2023 was $18.7 million, which related to the sale of assets in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Requirements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the CPRIT to support the Company’s clinical investigation of MT-401. Through the date of this filing, the Company has received $9.7 million of funds from the CPRIT grant. The Company recorded $0.9 million and $2.4 million of grant income related to the CPRIT grant as revenue during the three and nine months ended September 30, 2024, respectively. At September 30, 2024, the Company recorded $0.1 million of grant income receivable.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2022, the Company received notice from the FDA that it had awarded the Company a $2.0 million grant from the FDA’s Orphan Products Grant program to support the clinical investigation of MT-401 for the treatment of post-transplant AML. Through the date of this filing, the Company has received $1.0 million from the FDA grant. The Company recorded $0.02 million and $0.5 million of grant income related to the FDA grant as revenue during the three and nine months ended September 30, 2024. At September 30, 2024, the Company recorded $0.02 million of grant income receivable.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2023, the Company announced that it had received a $2.0 million grant from the National Institutes of Health Small Business Innovation Research (“SBIR”) program to support the development and investigation of MT-401 for the treatment of AML patients following standard-of-care therapy with hypomethylating agents. Through the date of this filing, the Company has received $0.9 million from SBIR. The Company recorded $0.3 million and $0.7 million of grant income related to the SBIR grant as revenue during the three and nine months ended September 30, 2024. At September 30, 2024, the Company recorded $0.3 million of grant income receivable.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 National Cancer Institute to support control over tumor immune escape in pancreatic cancer using a dual T cell product strategy. Through the date of this filing, the Company has received immaterial funds from this grant.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National Institutes of Health Small Business Innovation Research Program to support the clinical investigation of MT-601 in patients with non-Hodgkin’s lymphoma (NHL) who have relapsed following anti-CD19 chimeric antigen receptor (CAR) T cell therapy. Through the date of this filing, the Company has received $0.7 million of funds from this grant. The Company recorded $0.7 million of grant income related to this grant as revenue for the three and nine months ended September 30, 2024. As of September 30, 2024, the Company recorded $0.3 million of grant income receivable.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National Institutes of Health SBIR Program to support the advancement of MT-601 in patients with pancreatic cancer. Through the date of this filing, the Company has not received any funds from this grant.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had working capital of $7.4 million, compared to working capital of $14.1 million as of December 31, 2023. Operating expenses incurred during the three and nine months ended September 30, 2024 were $4.3 million and $11.6 million,</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respectively, compared to $3.5 million and $13.9 million during the equivalent prior year periods. Based on our clinical plans and our timing expectations related to the progress of our programs, we anticipate that, together with drawdowns of available grant funds, our cash and cash equivalents as of September 30, 2024 will enable us to fund our operating expenses and capital expenditure requirements into October 2025. This estimate is subject to our ability to effectively manage our costs, raise additional capital, and utilize drawdowns of anticipated grant funds.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92"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continue clinical trials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product candidates and seek to discover additional product candidates; seek regulatory approvals for our product candidates if they successfully complete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development of our manufacturing capabilities and our manufacturing facility;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and scale-up manufacturing capabilities to commercialize any product candidates that may receive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transactions we may undertake;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high inflation and concerns about an economic recession in the United States or other major markets have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August 2021, we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ATM Agreement, with Cantor Fitzgerald &amp; Co. and RBC Capital Markets, LLC, or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rate equal to 3.0% of the gross sales price per share sold under the ATM Agreement, and we have provided each of the Sales Agents with indemnification and contribution rights. During the nine months ended September 30, 2024, the Company sold 8,178 shares of its common stock under the ATM Agreement resulting in net proceeds of approximately $37,000, after deducting agent commissions. On June 10, 2024, the Company provided notice of its termination of the ATM Agreement with Cantor Fitzgerald &amp; Co. and RBC Capital Markets, LLC. The Company is not subject to any termination penalties related to the termination of the ATM Agreement. The Company is currently considering more effective ways to improve market access to its equity.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12, 2022, we entered into a purchase agreement, or the Purchase Agreement, with Lincoln Park Capital Fund, LLC, or Lincoln Park, which provides that, upon the terms and subject to the conditions of the agreement, we have the right, but not the obligation, to sell to Lincoln Park up to $25,000,000 of shares of our common stock, or the Purchase Shares, from time to time over a 24-month term, at a variable price with certain market-based terms as defined in the agreement. The purchase agreement does not exhibit any of the characteristics for liability classification under ASC Topic 480, Distinguishing Liabilities from Equity. In January 2023, Lincoln Park was issued 180,410 shares of stock as a commitment fee at a value of $0.5 million. On February 29, 2024, we terminated the Purchase Agreement with Lincoln Park effective March 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sources of revenue, other than grant and related party services income, to provide incoming cash flows to sustain our future operations. As outlined above, our ability to pursue our long-term planned business activities is dependent upon our successful efforts to raise additional capital.</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critical accounting policies and estimates include the valuation and attribution of stock-based compensation and grant income.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(including modification of options) using the Black-Scholes option pricing model with key assumptions including volatility, computed using the Company’s historical stock price over its expected terms.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grant income, the Company recognizes revenue when qualifying costs are incurred for the amount the Company is entitled to under the provisions of the contract.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under Part II, Item 7 of our Annual Report on Form 10-K for the year ended December 31,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28575</wp:posOffset>
            </wp:positionV>
            <wp:extent cx="6283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31"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28575</wp:posOffset>
            </wp:positionV>
            <wp:extent cx="6283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the end of the period covered by this report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as of the end of the period covered by this report. Based on that evaluation, our principal executive officer and principal financial officer concluded that our disclosure controls and procedures are effective in recording, processing, summarizing, and reporting, on a timely basis, information required to be disclosed by us in the reports that we file or submit under the Exchange Act.</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three months ended September 30, 2024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2023, filed with the Securities and Exchange Commission on March 26, 2024. There have been no material changes to the risk factors described in that report.</w:t>
      </w:r>
    </w:p>
    <w:p>
      <w:pPr>
        <w:spacing w:after="0" w:line="125"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36830</wp:posOffset>
            </wp:positionV>
            <wp:extent cx="6283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196" w:lineRule="exact"/>
        <w:rPr>
          <w:sz w:val="20"/>
          <w:szCs w:val="20"/>
          <w:color w:val="auto"/>
        </w:rPr>
      </w:pPr>
    </w:p>
    <w:p>
      <w:pPr>
        <w:ind w:left="340" w:hanging="319"/>
        <w:spacing w:after="0"/>
        <w:tabs>
          <w:tab w:leader="none" w:pos="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record any issuances of unregistered securities during the nine months ended September 30, 2024.</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nor did any affiliated purchasers, purchase any shares or other units of any class of the Company’s equity securities during the nine months ended September 30, 2024.</w:t>
      </w:r>
    </w:p>
    <w:p>
      <w:pPr>
        <w:spacing w:after="0" w:line="123"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28575</wp:posOffset>
            </wp:positionV>
            <wp:extent cx="6283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36830</wp:posOffset>
            </wp:positionV>
            <wp:extent cx="6283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5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and Officer Trading Plans and Arrangements</w:t>
      </w:r>
      <w:r>
        <w:rPr>
          <w:rFonts w:ascii="Times New Roman" w:cs="Times New Roman" w:eastAsia="Times New Roman" w:hAnsi="Times New Roman"/>
          <w:sz w:val="18"/>
          <w:szCs w:val="18"/>
          <w:color w:val="auto"/>
        </w:rPr>
        <w:t>. During the quarterly period ended September 30, 2024, no director or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adopted or terminated any contract, instruction or written plan for the purchase or sale of securities of the Company intended to satisfy the affirmative defense conditions of Rule 10b5-1(c) of the Exchange Act or any “non-Rule 10b5-1 trading arrangement” (as defined in the Exchange Act).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included with this Quarterly Report on Form 10-Q:</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7"/>
        </w:trPr>
        <w:tc>
          <w:tcPr>
            <w:tcW w:w="9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2700" w:type="dxa"/>
            <w:vAlign w:val="bottom"/>
            <w:gridSpan w:val="10"/>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vMerge w:val="restart"/>
          </w:tcPr>
          <w:p>
            <w:pPr>
              <w:spacing w:after="0"/>
              <w:rPr>
                <w:sz w:val="9"/>
                <w:szCs w:val="9"/>
                <w:color w:val="auto"/>
              </w:rPr>
            </w:pPr>
          </w:p>
        </w:tc>
        <w:tc>
          <w:tcPr>
            <w:tcW w:w="640" w:type="dxa"/>
            <w:vAlign w:val="bottom"/>
            <w:vMerge w:val="restart"/>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vMerge w:val="restart"/>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10"/>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Certificate of Incorporation (Delaware).</w:t>
              </w:r>
            </w:hyperlink>
          </w:p>
        </w:tc>
        <w:tc>
          <w:tcPr>
            <w:tcW w:w="960" w:type="dxa"/>
            <w:vAlign w:val="bottom"/>
            <w:gridSpan w:val="6"/>
          </w:tcPr>
          <w:p>
            <w:pPr>
              <w:spacing w:after="0"/>
              <w:rPr>
                <w:sz w:val="24"/>
                <w:szCs w:val="24"/>
                <w:color w:val="auto"/>
              </w:rPr>
            </w:pPr>
          </w:p>
        </w:tc>
        <w:tc>
          <w:tcPr>
            <w:tcW w:w="64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3"/>
          </w:tcPr>
          <w:p>
            <w:pPr>
              <w:jc w:val="center"/>
              <w:ind w:left="293"/>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37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Amendment  to  Certificate  of</w:t>
              </w:r>
            </w:hyperlink>
          </w:p>
        </w:tc>
        <w:tc>
          <w:tcPr>
            <w:tcW w:w="160" w:type="dxa"/>
            <w:vAlign w:val="bottom"/>
            <w:gridSpan w:val="2"/>
          </w:tcPr>
          <w:p>
            <w:pPr>
              <w:spacing w:after="0"/>
              <w:rPr>
                <w:sz w:val="24"/>
                <w:szCs w:val="24"/>
                <w:color w:val="auto"/>
              </w:rPr>
            </w:pPr>
          </w:p>
        </w:tc>
        <w:tc>
          <w:tcPr>
            <w:tcW w:w="64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3"/>
          </w:tcPr>
          <w:p>
            <w:pPr>
              <w:jc w:val="center"/>
              <w:ind w:left="293"/>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5/27/2022</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2"/>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Incorporation.</w:t>
              </w:r>
            </w:hyperlink>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3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Certificate  of  Amendment  to  Amended  and</w:t>
              </w:r>
            </w:hyperlink>
          </w:p>
        </w:tc>
        <w:tc>
          <w:tcPr>
            <w:tcW w:w="200" w:type="dxa"/>
            <w:vAlign w:val="bottom"/>
            <w:gridSpan w:val="4"/>
          </w:tcPr>
          <w:p>
            <w:pPr>
              <w:spacing w:after="0"/>
              <w:rPr>
                <w:sz w:val="24"/>
                <w:szCs w:val="24"/>
                <w:color w:val="auto"/>
              </w:rPr>
            </w:pPr>
          </w:p>
        </w:tc>
        <w:tc>
          <w:tcPr>
            <w:tcW w:w="64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3"/>
          </w:tcPr>
          <w:p>
            <w:pPr>
              <w:jc w:val="center"/>
              <w:ind w:left="293"/>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1/26/2023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2"/>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Restated Certificate of Incorporation</w:t>
              </w:r>
            </w:hyperlink>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2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Bylaws of Marker Therapeutics, Inc.</w:t>
              </w:r>
            </w:hyperlink>
          </w:p>
        </w:tc>
        <w:tc>
          <w:tcPr>
            <w:tcW w:w="1200" w:type="dxa"/>
            <w:vAlign w:val="bottom"/>
            <w:gridSpan w:val="9"/>
          </w:tcPr>
          <w:p>
            <w:pPr>
              <w:spacing w:after="0"/>
              <w:rPr>
                <w:sz w:val="24"/>
                <w:szCs w:val="24"/>
                <w:color w:val="auto"/>
              </w:rPr>
            </w:pPr>
          </w:p>
        </w:tc>
        <w:tc>
          <w:tcPr>
            <w:tcW w:w="64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3"/>
          </w:tcPr>
          <w:p>
            <w:pPr>
              <w:jc w:val="center"/>
              <w:ind w:left="293"/>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3860" w:type="dxa"/>
            <w:vAlign w:val="bottom"/>
            <w:gridSpan w:val="12"/>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Master Services Agreement for Product Supply</w:t>
              </w:r>
            </w:hyperlink>
          </w:p>
        </w:tc>
        <w:tc>
          <w:tcPr>
            <w:tcW w:w="64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gridSpan w:val="3"/>
          </w:tcPr>
          <w:p>
            <w:pPr>
              <w:jc w:val="center"/>
              <w:ind w:left="293"/>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3/26/2024</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between  Marker  Therapeutics,  Inc.  and  Cell</w:t>
              </w:r>
            </w:hyperlink>
          </w:p>
        </w:tc>
        <w:tc>
          <w:tcPr>
            <w:tcW w:w="20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Ready LLC dated February 22, 2024**</w:t>
              </w:r>
            </w:hyperlink>
          </w:p>
        </w:tc>
        <w:tc>
          <w:tcPr>
            <w:tcW w:w="102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38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to Rule 13a-14(a) or 15d-14(a) of the Securities</w:t>
            </w:r>
          </w:p>
        </w:tc>
        <w:tc>
          <w:tcPr>
            <w:tcW w:w="20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1933, as amended.</w:t>
            </w:r>
          </w:p>
        </w:tc>
        <w:tc>
          <w:tcPr>
            <w:tcW w:w="122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36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w:t>
            </w:r>
          </w:p>
        </w:tc>
        <w:tc>
          <w:tcPr>
            <w:tcW w:w="2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to Rule 13a-14(a) or 15d-14(a) of the Securities</w:t>
            </w:r>
          </w:p>
        </w:tc>
        <w:tc>
          <w:tcPr>
            <w:tcW w:w="20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1933, as amended.</w:t>
            </w:r>
          </w:p>
        </w:tc>
        <w:tc>
          <w:tcPr>
            <w:tcW w:w="122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6"/>
                <w:szCs w:val="26"/>
                <w:color w:val="auto"/>
                <w:vertAlign w:val="superscript"/>
              </w:rPr>
              <w:t>*</w:t>
            </w:r>
          </w:p>
        </w:tc>
        <w:tc>
          <w:tcPr>
            <w:tcW w:w="200" w:type="dxa"/>
            <w:vAlign w:val="bottom"/>
          </w:tcPr>
          <w:p>
            <w:pPr>
              <w:spacing w:after="0"/>
              <w:rPr>
                <w:sz w:val="24"/>
                <w:szCs w:val="24"/>
                <w:color w:val="auto"/>
              </w:rPr>
            </w:pPr>
          </w:p>
        </w:tc>
        <w:tc>
          <w:tcPr>
            <w:tcW w:w="38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to 18 U.S.C. 1350 as adopted pursuant to Section</w:t>
            </w:r>
          </w:p>
        </w:tc>
        <w:tc>
          <w:tcPr>
            <w:tcW w:w="20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906 of the Sarbanes-Oxley Act of 2002.</w:t>
            </w:r>
          </w:p>
        </w:tc>
        <w:tc>
          <w:tcPr>
            <w:tcW w:w="98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6"/>
                <w:szCs w:val="26"/>
                <w:color w:val="auto"/>
                <w:vertAlign w:val="superscript"/>
              </w:rPr>
              <w:t>*</w:t>
            </w:r>
          </w:p>
        </w:tc>
        <w:tc>
          <w:tcPr>
            <w:tcW w:w="200" w:type="dxa"/>
            <w:vAlign w:val="bottom"/>
          </w:tcPr>
          <w:p>
            <w:pPr>
              <w:spacing w:after="0"/>
              <w:rPr>
                <w:sz w:val="24"/>
                <w:szCs w:val="24"/>
                <w:color w:val="auto"/>
              </w:rPr>
            </w:pPr>
          </w:p>
        </w:tc>
        <w:tc>
          <w:tcPr>
            <w:tcW w:w="36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w:t>
            </w:r>
          </w:p>
        </w:tc>
        <w:tc>
          <w:tcPr>
            <w:tcW w:w="18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to 18 U.S.C. 1350 as adopted pursuant to Section</w:t>
            </w:r>
          </w:p>
        </w:tc>
        <w:tc>
          <w:tcPr>
            <w:tcW w:w="20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 - XBRL Instance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 XBRL Taxonomy Extension Presentation Linkbase Document</w:t>
      </w:r>
    </w:p>
    <w:p>
      <w:pPr>
        <w:spacing w:after="0" w:line="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 Cover Page Interactive Data File (formatted as Inline XBRL and contained in Exhibit 101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87" w:lineRule="exact"/>
        <w:rPr>
          <w:sz w:val="20"/>
          <w:szCs w:val="20"/>
          <w:color w:val="auto"/>
        </w:rPr>
      </w:pPr>
    </w:p>
    <w:p>
      <w:pPr>
        <w:jc w:val="both"/>
        <w:ind w:left="34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180"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of this exhibit pursuant to Rule 406 of the Securities Act of 1933, as amended, or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18415</wp:posOffset>
            </wp:positionV>
            <wp:extent cx="28803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Chief Executive Officer and Treasurer (Principal</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Executive Officer and Principal Financial and Accounting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Juan Vera,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Marker Therapeutics,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November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Chief Executive Officer and Treasurer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Juan Vera,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Marker Therapeutics,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November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Chief Executive Officer and Treasurer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Juan Vera, the Chief Executive Officer of Marker Therapeutics, Inc. (the “Company”) hereby certifies, pursuant to 18 U.S.C. Section 1350, as adopted pursuant to Section 906 of the Sarbanes-Oxley Act of 2002, that, to the best of his knowledge, the Quarterly Report on Form 10-Q for the period ended September 30, 2024,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83" w:lineRule="exact"/>
        <w:rPr>
          <w:sz w:val="20"/>
          <w:szCs w:val="20"/>
          <w:color w:val="auto"/>
        </w:rPr>
      </w:pPr>
    </w:p>
    <w:p>
      <w:pPr>
        <w:jc w:val="center"/>
        <w:ind w:right="7980"/>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18415</wp:posOffset>
            </wp:positionV>
            <wp:extent cx="2828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Chief Executive Officer and Treasurer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Juan Vera, the Principal Financial Officer of Marker Therapeutics, Inc. (the “Company”) hereby certifies, pursuant to 18 U.S.C. Section 1350, as adopted pursuant to Section 906 of the Sarbanes-Oxley Act of 2002, that, to the best of his knowledge, the Quarterly Report on Form 10-Q for the period ended September 30, 2024,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83" w:lineRule="exact"/>
        <w:rPr>
          <w:sz w:val="20"/>
          <w:szCs w:val="20"/>
          <w:color w:val="auto"/>
        </w:rPr>
      </w:pPr>
    </w:p>
    <w:p>
      <w:pPr>
        <w:jc w:val="center"/>
        <w:ind w:right="7980"/>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18415</wp:posOffset>
            </wp:positionV>
            <wp:extent cx="28289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Chief Executive Officer and Treasurer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lvl w:ilvl="1">
      <w:lvlJc w:val="left"/>
      <w:lvlText w:val="(%2)"/>
      <w:numFmt w:val="lowerLetter"/>
      <w:start w:val="1"/>
    </w:lvl>
  </w:abstractNum>
  <w:abstractNum w:abstractNumId="11">
    <w:nsid w:val="7FDCC233"/>
    <w:multiLevelType w:val="hybridMultilevel"/>
    <w:lvl w:ilvl="0">
      <w:lvlJc w:val="left"/>
      <w:lvlText w:val="(%1)"/>
      <w:numFmt w:val="lowerLetter"/>
      <w:start w:val="3"/>
    </w:lvl>
    <w:lvl w:ilvl="1">
      <w:lvlJc w:val="left"/>
      <w:lvlText w:val="%2"/>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58" Type="http://schemas.openxmlformats.org/officeDocument/2006/relationships/hyperlink" Target="https://www.sec.gov/Archives/edgar/data/1094038/000114420418054209/tv504951_ex3-4.htm" TargetMode="External"/><Relationship Id="rId59" Type="http://schemas.openxmlformats.org/officeDocument/2006/relationships/hyperlink" Target="https://www.sec.gov/Archives/edgar/data/1094038/000119312522162322/d480537dex31.htm" TargetMode="External"/><Relationship Id="rId60" Type="http://schemas.openxmlformats.org/officeDocument/2006/relationships/hyperlink" Target="https://www.sec.gov/Archives/edgar/data/1094038/000110465923007019/tm234466d1_ex3-1.htm" TargetMode="External"/><Relationship Id="rId61" Type="http://schemas.openxmlformats.org/officeDocument/2006/relationships/hyperlink" Target="https://www.sec.gov/Archives/edgar/data/1094038/000114420418054209/tv504951_ex3-6.htm" TargetMode="External"/><Relationship Id="rId62" Type="http://schemas.openxmlformats.org/officeDocument/2006/relationships/hyperlink" Target="https://www.sec.gov/Archives/edgar/data/1094038/000141057824000297/mrkr-20231231xex10d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2024-11-14T15:30:21Z</dcterms:created>
  <dcterms:modified xsi:type="dcterms:W3CDTF">2024-11-14T15:30:21Z</dcterms:modified>
</cp:coreProperties>
</file>