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1906905</wp:posOffset>
            </wp:positionH>
            <wp:positionV relativeFrom="page">
              <wp:posOffset>2070735</wp:posOffset>
            </wp:positionV>
            <wp:extent cx="3836035" cy="1012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8360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48"/>
          <w:szCs w:val="48"/>
          <w:b w:val="1"/>
          <w:bCs w:val="1"/>
          <w:color w:val="373535"/>
        </w:rPr>
        <w:t>Marker Therapeutics, Inc.</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52"/>
          <w:szCs w:val="52"/>
          <w:b w:val="1"/>
          <w:bCs w:val="1"/>
          <w:color w:val="373535"/>
        </w:rPr>
        <w:t>202</w:t>
      </w:r>
      <w:r>
        <w:rPr>
          <w:rFonts w:ascii="Times New Roman" w:cs="Times New Roman" w:eastAsia="Times New Roman" w:hAnsi="Times New Roman"/>
          <w:sz w:val="52"/>
          <w:szCs w:val="52"/>
          <w:b w:val="1"/>
          <w:bCs w:val="1"/>
          <w:color w:val="373535"/>
        </w:rPr>
        <w:t>6</w:t>
      </w:r>
      <w:r>
        <w:rPr>
          <w:rFonts w:ascii="Arial" w:cs="Arial" w:eastAsia="Arial" w:hAnsi="Arial"/>
          <w:sz w:val="52"/>
          <w:szCs w:val="52"/>
          <w:b w:val="1"/>
          <w:bCs w:val="1"/>
          <w:color w:val="373535"/>
        </w:rPr>
        <w:t xml:space="preserve">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289560</wp:posOffset>
                </wp:positionH>
                <wp:positionV relativeFrom="page">
                  <wp:posOffset>1338580</wp:posOffset>
                </wp:positionV>
                <wp:extent cx="69710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1030"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8pt,105.4pt" to="571.7pt,105.4pt" o:allowincell="f" strokecolor="#000000" strokeweight="2.2869pt">
                <w10:wrap anchorx="page" anchory="page"/>
              </v:line>
            </w:pict>
          </mc:Fallback>
        </mc:AlternateContent>
        <mc:AlternateContent>
          <mc:Choice Requires="wps">
            <w:drawing>
              <wp:anchor simplePos="0" relativeHeight="251657728" behindDoc="1" locked="0" layoutInCell="0" allowOverlap="1">
                <wp:simplePos x="0" y="0"/>
                <wp:positionH relativeFrom="page">
                  <wp:posOffset>289560</wp:posOffset>
                </wp:positionH>
                <wp:positionV relativeFrom="page">
                  <wp:posOffset>1386205</wp:posOffset>
                </wp:positionV>
                <wp:extent cx="69710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1030"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8pt,109.15pt" to="571.7pt,109.15pt" o:allowincell="f" strokecolor="#000000" strokeweight="0.572pt">
                <w10:wrap anchorx="page" anchory="page"/>
              </v:line>
            </w:pict>
          </mc:Fallback>
        </mc:AlternateConten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10-K</w:t>
      </w:r>
    </w:p>
    <w:p>
      <w:pPr>
        <w:spacing w:after="0" w:line="113" w:lineRule="exact"/>
        <w:rPr>
          <w:sz w:val="20"/>
          <w:szCs w:val="20"/>
          <w:color w:val="auto"/>
        </w:rPr>
      </w:pPr>
    </w:p>
    <w:p>
      <w:pPr>
        <w:ind w:left="340" w:hanging="338"/>
        <w:spacing w:after="0"/>
        <w:tabs>
          <w:tab w:leader="none" w:pos="34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ANNUAL REPORT PURSUANT TO SECTION 13 OR 15(d) OF THE SECURITIES EXCHANGE ACT OF 1934</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2025</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92" w:lineRule="exact"/>
        <w:rPr>
          <w:sz w:val="20"/>
          <w:szCs w:val="20"/>
          <w:color w:val="auto"/>
        </w:rPr>
      </w:pPr>
    </w:p>
    <w:p>
      <w:pPr>
        <w:ind w:left="340" w:right="5480" w:hanging="338"/>
        <w:spacing w:after="0" w:line="345" w:lineRule="auto"/>
        <w:tabs>
          <w:tab w:leader="none" w:pos="340"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TRANSITION REPORT PURSUANT TO SECTION 13 OR 15(d) OF THE SECURITIES EXCHANGE ACT OF 1934 For the transition period from _______________ to ______________.</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Commission File Number: 001-37939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41910</wp:posOffset>
            </wp:positionV>
            <wp:extent cx="1713865" cy="45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1713865"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2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0" w:type="dxa"/>
            <w:vAlign w:val="bottom"/>
            <w:gridSpan w:val="7"/>
          </w:tcPr>
          <w:p>
            <w:pPr>
              <w:jc w:val="center"/>
              <w:ind w:left="29"/>
              <w:spacing w:after="0"/>
              <w:rPr>
                <w:sz w:val="20"/>
                <w:szCs w:val="20"/>
                <w:color w:val="auto"/>
              </w:rPr>
            </w:pPr>
            <w:r>
              <w:rPr>
                <w:rFonts w:ascii="Arial" w:cs="Arial" w:eastAsia="Arial" w:hAnsi="Arial"/>
                <w:sz w:val="21"/>
                <w:szCs w:val="21"/>
                <w:b w:val="1"/>
                <w:bCs w:val="1"/>
                <w:u w:val="single" w:color="auto"/>
                <w:color w:val="auto"/>
              </w:rPr>
              <w:t>MARKER THERAPEUTICS, INC.</w:t>
            </w: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6"/>
          </w:tcPr>
          <w:p>
            <w:pPr>
              <w:jc w:val="center"/>
              <w:ind w:right="200"/>
              <w:spacing w:after="0"/>
              <w:rPr>
                <w:sz w:val="20"/>
                <w:szCs w:val="20"/>
                <w:color w:val="auto"/>
              </w:rPr>
            </w:pPr>
            <w:r>
              <w:rPr>
                <w:rFonts w:ascii="Arial" w:cs="Arial" w:eastAsia="Arial" w:hAnsi="Arial"/>
                <w:sz w:val="11"/>
                <w:szCs w:val="11"/>
                <w:color w:val="auto"/>
                <w:w w:val="87"/>
              </w:rPr>
              <w:t>(Exact name of registrant as specified in its charter)</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480" w:type="dxa"/>
            <w:vAlign w:val="bottom"/>
            <w:vMerge w:val="restart"/>
          </w:tcPr>
          <w:p>
            <w:pPr>
              <w:ind w:left="2080"/>
              <w:spacing w:after="0"/>
              <w:rPr>
                <w:sz w:val="20"/>
                <w:szCs w:val="20"/>
                <w:color w:val="auto"/>
              </w:rPr>
            </w:pPr>
            <w:r>
              <w:rPr>
                <w:rFonts w:ascii="Arial" w:cs="Arial" w:eastAsia="Arial" w:hAnsi="Arial"/>
                <w:sz w:val="11"/>
                <w:szCs w:val="11"/>
                <w:color w:val="auto"/>
                <w:w w:val="89"/>
              </w:rPr>
              <w:t>(State or</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90"/>
              </w:rPr>
              <w:t>Delaware</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40" w:type="dxa"/>
            <w:vAlign w:val="bottom"/>
            <w:gridSpan w:val="3"/>
          </w:tcPr>
          <w:p>
            <w:pPr>
              <w:jc w:val="right"/>
              <w:ind w:right="2460"/>
              <w:spacing w:after="0"/>
              <w:rPr>
                <w:sz w:val="20"/>
                <w:szCs w:val="20"/>
                <w:color w:val="auto"/>
              </w:rPr>
            </w:pPr>
            <w:r>
              <w:rPr>
                <w:rFonts w:ascii="Arial" w:cs="Arial" w:eastAsia="Arial" w:hAnsi="Arial"/>
                <w:sz w:val="11"/>
                <w:szCs w:val="11"/>
                <w:b w:val="1"/>
                <w:bCs w:val="1"/>
                <w:color w:val="auto"/>
              </w:rPr>
              <w:t>45-4497941</w:t>
            </w:r>
          </w:p>
        </w:tc>
        <w:tc>
          <w:tcPr>
            <w:tcW w:w="0" w:type="dxa"/>
            <w:vAlign w:val="bottom"/>
          </w:tcPr>
          <w:p>
            <w:pPr>
              <w:spacing w:after="0"/>
              <w:rPr>
                <w:sz w:val="1"/>
                <w:szCs w:val="1"/>
                <w:color w:val="auto"/>
              </w:rPr>
            </w:pPr>
          </w:p>
        </w:tc>
      </w:tr>
      <w:tr>
        <w:trPr>
          <w:trHeight w:val="20"/>
        </w:trPr>
        <w:tc>
          <w:tcPr>
            <w:tcW w:w="2480" w:type="dxa"/>
            <w:vAlign w:val="bottom"/>
            <w:vMerge w:val="continue"/>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480" w:type="dxa"/>
            <w:vAlign w:val="bottom"/>
            <w:vMerge w:val="continue"/>
          </w:tcPr>
          <w:p>
            <w:pPr>
              <w:spacing w:after="0"/>
              <w:rPr>
                <w:sz w:val="7"/>
                <w:szCs w:val="7"/>
                <w:color w:val="auto"/>
              </w:rPr>
            </w:pPr>
          </w:p>
        </w:tc>
        <w:tc>
          <w:tcPr>
            <w:tcW w:w="1160" w:type="dxa"/>
            <w:vAlign w:val="bottom"/>
            <w:gridSpan w:val="2"/>
          </w:tcPr>
          <w:p>
            <w:pPr>
              <w:spacing w:after="0" w:line="87" w:lineRule="exact"/>
              <w:rPr>
                <w:sz w:val="20"/>
                <w:szCs w:val="20"/>
                <w:color w:val="auto"/>
              </w:rPr>
            </w:pPr>
            <w:r>
              <w:rPr>
                <w:rFonts w:ascii="Arial" w:cs="Arial" w:eastAsia="Arial" w:hAnsi="Arial"/>
                <w:sz w:val="10"/>
                <w:szCs w:val="10"/>
                <w:color w:val="auto"/>
              </w:rPr>
              <w:t>other jurisdiction of</w:t>
            </w:r>
          </w:p>
        </w:tc>
        <w:tc>
          <w:tcPr>
            <w:tcW w:w="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740" w:type="dxa"/>
            <w:vAlign w:val="bottom"/>
            <w:gridSpan w:val="3"/>
          </w:tcPr>
          <w:p>
            <w:pPr>
              <w:jc w:val="center"/>
              <w:ind w:right="1680"/>
              <w:spacing w:after="0" w:line="87" w:lineRule="exact"/>
              <w:rPr>
                <w:sz w:val="20"/>
                <w:szCs w:val="20"/>
                <w:color w:val="auto"/>
              </w:rPr>
            </w:pPr>
            <w:r>
              <w:rPr>
                <w:rFonts w:ascii="Arial" w:cs="Arial" w:eastAsia="Arial" w:hAnsi="Arial"/>
                <w:sz w:val="10"/>
                <w:szCs w:val="10"/>
                <w:color w:val="auto"/>
              </w:rPr>
              <w:t>(IRS Employer Identification No.)</w:t>
            </w:r>
          </w:p>
        </w:tc>
        <w:tc>
          <w:tcPr>
            <w:tcW w:w="0" w:type="dxa"/>
            <w:vAlign w:val="bottom"/>
          </w:tcPr>
          <w:p>
            <w:pPr>
              <w:spacing w:after="0"/>
              <w:rPr>
                <w:sz w:val="1"/>
                <w:szCs w:val="1"/>
                <w:color w:val="auto"/>
              </w:rPr>
            </w:pPr>
          </w:p>
        </w:tc>
      </w:tr>
      <w:tr>
        <w:trPr>
          <w:trHeight w:val="143"/>
        </w:trPr>
        <w:tc>
          <w:tcPr>
            <w:tcW w:w="3640" w:type="dxa"/>
            <w:vAlign w:val="bottom"/>
            <w:gridSpan w:val="3"/>
          </w:tcPr>
          <w:p>
            <w:pPr>
              <w:jc w:val="center"/>
              <w:ind w:left="1707"/>
              <w:spacing w:after="0"/>
              <w:rPr>
                <w:sz w:val="20"/>
                <w:szCs w:val="20"/>
                <w:color w:val="auto"/>
              </w:rPr>
            </w:pPr>
            <w:r>
              <w:rPr>
                <w:rFonts w:ascii="Arial" w:cs="Arial" w:eastAsia="Arial" w:hAnsi="Arial"/>
                <w:sz w:val="11"/>
                <w:szCs w:val="11"/>
                <w:color w:val="auto"/>
                <w:w w:val="89"/>
              </w:rPr>
              <w:t>incorporation)</w:t>
            </w: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240" w:type="dxa"/>
            <w:vAlign w:val="bottom"/>
            <w:gridSpan w:val="10"/>
          </w:tcPr>
          <w:p>
            <w:pPr>
              <w:jc w:val="center"/>
              <w:ind w:right="1840"/>
              <w:spacing w:after="0"/>
              <w:rPr>
                <w:sz w:val="20"/>
                <w:szCs w:val="20"/>
                <w:color w:val="auto"/>
              </w:rPr>
            </w:pPr>
            <w:r>
              <w:rPr>
                <w:rFonts w:ascii="Arial" w:cs="Arial" w:eastAsia="Arial" w:hAnsi="Arial"/>
                <w:sz w:val="11"/>
                <w:szCs w:val="11"/>
                <w:b w:val="1"/>
                <w:bCs w:val="1"/>
                <w:color w:val="auto"/>
                <w:w w:val="89"/>
              </w:rPr>
              <w:t>2450 Holcombe Blvd, TMC Partners Office 1.311</w:t>
            </w:r>
          </w:p>
        </w:tc>
        <w:tc>
          <w:tcPr>
            <w:tcW w:w="1280" w:type="dxa"/>
            <w:vAlign w:val="bottom"/>
            <w:gridSpan w:val="2"/>
            <w:vMerge w:val="restart"/>
          </w:tcPr>
          <w:p>
            <w:pPr>
              <w:jc w:val="right"/>
              <w:ind w:right="67"/>
              <w:spacing w:after="0"/>
              <w:rPr>
                <w:sz w:val="20"/>
                <w:szCs w:val="20"/>
                <w:color w:val="auto"/>
              </w:rPr>
            </w:pPr>
            <w:r>
              <w:rPr>
                <w:rFonts w:ascii="Arial" w:cs="Arial" w:eastAsia="Arial" w:hAnsi="Arial"/>
                <w:sz w:val="11"/>
                <w:szCs w:val="11"/>
                <w:b w:val="1"/>
                <w:bCs w:val="1"/>
                <w:color w:val="auto"/>
              </w:rPr>
              <w:t>77021</w:t>
            </w: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640" w:type="dxa"/>
            <w:vAlign w:val="bottom"/>
            <w:gridSpan w:val="3"/>
          </w:tcPr>
          <w:p>
            <w:pPr>
              <w:jc w:val="center"/>
              <w:ind w:left="1707"/>
              <w:spacing w:after="0" w:line="116" w:lineRule="exact"/>
              <w:rPr>
                <w:sz w:val="20"/>
                <w:szCs w:val="20"/>
                <w:color w:val="auto"/>
              </w:rPr>
            </w:pPr>
            <w:r>
              <w:rPr>
                <w:rFonts w:ascii="Arial" w:cs="Arial" w:eastAsia="Arial" w:hAnsi="Arial"/>
                <w:sz w:val="11"/>
                <w:szCs w:val="11"/>
                <w:b w:val="1"/>
                <w:bCs w:val="1"/>
                <w:color w:val="auto"/>
                <w:w w:val="82"/>
              </w:rPr>
              <w:t>Houston, Texas</w:t>
            </w: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640" w:type="dxa"/>
            <w:vAlign w:val="bottom"/>
            <w:gridSpan w:val="3"/>
          </w:tcPr>
          <w:p>
            <w:pPr>
              <w:jc w:val="center"/>
              <w:ind w:left="1707"/>
              <w:spacing w:after="0"/>
              <w:rPr>
                <w:sz w:val="20"/>
                <w:szCs w:val="20"/>
                <w:color w:val="auto"/>
              </w:rPr>
            </w:pPr>
            <w:r>
              <w:rPr>
                <w:rFonts w:ascii="Arial" w:cs="Arial" w:eastAsia="Arial" w:hAnsi="Arial"/>
                <w:sz w:val="11"/>
                <w:szCs w:val="11"/>
                <w:color w:val="auto"/>
                <w:w w:val="89"/>
              </w:rPr>
              <w:t>(Address of principal executive offices)</w:t>
            </w: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60" w:type="dxa"/>
            <w:vAlign w:val="bottom"/>
            <w:gridSpan w:val="2"/>
          </w:tcPr>
          <w:p>
            <w:pPr>
              <w:jc w:val="center"/>
              <w:ind w:right="2460"/>
              <w:spacing w:after="0"/>
              <w:rPr>
                <w:sz w:val="20"/>
                <w:szCs w:val="20"/>
                <w:color w:val="auto"/>
              </w:rPr>
            </w:pPr>
            <w:r>
              <w:rPr>
                <w:rFonts w:ascii="Arial" w:cs="Arial" w:eastAsia="Arial" w:hAnsi="Arial"/>
                <w:sz w:val="11"/>
                <w:szCs w:val="11"/>
                <w:color w:val="auto"/>
                <w:w w:val="92"/>
              </w:rPr>
              <w:t>(Zip code)</w:t>
            </w:r>
          </w:p>
        </w:tc>
        <w:tc>
          <w:tcPr>
            <w:tcW w:w="0" w:type="dxa"/>
            <w:vAlign w:val="bottom"/>
          </w:tcPr>
          <w:p>
            <w:pPr>
              <w:spacing w:after="0"/>
              <w:rPr>
                <w:sz w:val="1"/>
                <w:szCs w:val="1"/>
                <w:color w:val="auto"/>
              </w:rPr>
            </w:pPr>
          </w:p>
        </w:tc>
      </w:tr>
      <w:tr>
        <w:trPr>
          <w:trHeight w:val="128"/>
        </w:trPr>
        <w:tc>
          <w:tcPr>
            <w:tcW w:w="3640" w:type="dxa"/>
            <w:vAlign w:val="bottom"/>
            <w:gridSpan w:val="3"/>
            <w:vMerge w:val="restart"/>
          </w:tcPr>
          <w:p>
            <w:pPr>
              <w:spacing w:after="0"/>
              <w:rPr>
                <w:sz w:val="20"/>
                <w:szCs w:val="20"/>
                <w:color w:val="auto"/>
              </w:rPr>
            </w:pPr>
            <w:r>
              <w:rPr>
                <w:rFonts w:ascii="Arial" w:cs="Arial" w:eastAsia="Arial" w:hAnsi="Arial"/>
                <w:sz w:val="11"/>
                <w:szCs w:val="11"/>
                <w:color w:val="auto"/>
              </w:rPr>
              <w:t>(Telephone Number)</w:t>
            </w:r>
          </w:p>
        </w:tc>
        <w:tc>
          <w:tcPr>
            <w:tcW w:w="3540" w:type="dxa"/>
            <w:vAlign w:val="bottom"/>
            <w:gridSpan w:val="6"/>
          </w:tcPr>
          <w:p>
            <w:pPr>
              <w:jc w:val="center"/>
              <w:ind w:left="89"/>
              <w:spacing w:after="0"/>
              <w:rPr>
                <w:sz w:val="20"/>
                <w:szCs w:val="20"/>
                <w:color w:val="auto"/>
              </w:rPr>
            </w:pPr>
            <w:r>
              <w:rPr>
                <w:rFonts w:ascii="Arial" w:cs="Arial" w:eastAsia="Arial" w:hAnsi="Arial"/>
                <w:sz w:val="11"/>
                <w:szCs w:val="11"/>
                <w:b w:val="1"/>
                <w:bCs w:val="1"/>
                <w:color w:val="auto"/>
                <w:w w:val="87"/>
              </w:rPr>
              <w:t>(713) 400-6400</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0" w:type="dxa"/>
            <w:vAlign w:val="bottom"/>
            <w:gridSpan w:val="7"/>
          </w:tcPr>
          <w:p>
            <w:pPr>
              <w:jc w:val="center"/>
              <w:spacing w:after="0" w:line="121" w:lineRule="exact"/>
              <w:rPr>
                <w:sz w:val="20"/>
                <w:szCs w:val="20"/>
                <w:color w:val="auto"/>
              </w:rPr>
            </w:pPr>
            <w:r>
              <w:rPr>
                <w:rFonts w:ascii="Arial" w:cs="Arial" w:eastAsia="Arial" w:hAnsi="Arial"/>
                <w:sz w:val="11"/>
                <w:szCs w:val="11"/>
                <w:color w:val="auto"/>
                <w:w w:val="87"/>
              </w:rPr>
              <w:t>(Former name, former address and former fiscal year, if changed since last report)</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640" w:type="dxa"/>
            <w:vAlign w:val="bottom"/>
            <w:gridSpan w:val="3"/>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3640" w:type="dxa"/>
            <w:vAlign w:val="bottom"/>
            <w:tcBorders>
              <w:left w:val="single" w:sz="8" w:color="auto"/>
              <w:bottom w:val="single" w:sz="8" w:color="auto"/>
            </w:tcBorders>
            <w:gridSpan w:val="3"/>
          </w:tcPr>
          <w:p>
            <w:pPr>
              <w:ind w:left="20"/>
              <w:spacing w:after="0" w:line="106" w:lineRule="exact"/>
              <w:rPr>
                <w:sz w:val="20"/>
                <w:szCs w:val="20"/>
                <w:color w:val="auto"/>
              </w:rPr>
            </w:pPr>
            <w:r>
              <w:rPr>
                <w:rFonts w:ascii="Arial" w:cs="Arial" w:eastAsia="Arial" w:hAnsi="Arial"/>
                <w:sz w:val="11"/>
                <w:szCs w:val="11"/>
                <w:color w:val="auto"/>
              </w:rPr>
              <w:t>Title of each class</w:t>
            </w:r>
          </w:p>
        </w:tc>
        <w:tc>
          <w:tcPr>
            <w:tcW w:w="280" w:type="dxa"/>
            <w:vAlign w:val="bottom"/>
            <w:tcBorders>
              <w:bottom w:val="single" w:sz="8" w:color="auto"/>
              <w:right w:val="single" w:sz="8" w:color="auto"/>
            </w:tcBorders>
          </w:tcPr>
          <w:p>
            <w:pPr>
              <w:spacing w:after="0"/>
              <w:rPr>
                <w:sz w:val="9"/>
                <w:szCs w:val="9"/>
                <w:color w:val="auto"/>
              </w:rPr>
            </w:pPr>
          </w:p>
        </w:tc>
        <w:tc>
          <w:tcPr>
            <w:tcW w:w="3260" w:type="dxa"/>
            <w:vAlign w:val="bottom"/>
            <w:tcBorders>
              <w:bottom w:val="single" w:sz="8" w:color="auto"/>
              <w:right w:val="single" w:sz="8" w:color="auto"/>
            </w:tcBorders>
            <w:gridSpan w:val="5"/>
          </w:tcPr>
          <w:p>
            <w:pPr>
              <w:ind w:left="60"/>
              <w:spacing w:after="0" w:line="106" w:lineRule="exact"/>
              <w:rPr>
                <w:sz w:val="20"/>
                <w:szCs w:val="20"/>
                <w:color w:val="auto"/>
              </w:rPr>
            </w:pPr>
            <w:r>
              <w:rPr>
                <w:rFonts w:ascii="Arial" w:cs="Arial" w:eastAsia="Arial" w:hAnsi="Arial"/>
                <w:sz w:val="11"/>
                <w:szCs w:val="11"/>
                <w:color w:val="auto"/>
              </w:rPr>
              <w:t>Trading Symbol(s)</w:t>
            </w:r>
          </w:p>
        </w:tc>
        <w:tc>
          <w:tcPr>
            <w:tcW w:w="60" w:type="dxa"/>
            <w:vAlign w:val="bottom"/>
            <w:tcBorders>
              <w:bottom w:val="single" w:sz="8" w:color="auto"/>
            </w:tcBorders>
          </w:tcPr>
          <w:p>
            <w:pPr>
              <w:spacing w:after="0"/>
              <w:rPr>
                <w:sz w:val="9"/>
                <w:szCs w:val="9"/>
                <w:color w:val="auto"/>
              </w:rPr>
            </w:pPr>
          </w:p>
        </w:tc>
        <w:tc>
          <w:tcPr>
            <w:tcW w:w="3740" w:type="dxa"/>
            <w:vAlign w:val="bottom"/>
            <w:tcBorders>
              <w:bottom w:val="single" w:sz="8" w:color="auto"/>
              <w:right w:val="single" w:sz="8" w:color="auto"/>
            </w:tcBorders>
            <w:gridSpan w:val="3"/>
          </w:tcPr>
          <w:p>
            <w:pPr>
              <w:spacing w:after="0" w:line="106" w:lineRule="exact"/>
              <w:rPr>
                <w:sz w:val="20"/>
                <w:szCs w:val="20"/>
                <w:color w:val="auto"/>
              </w:rPr>
            </w:pPr>
            <w:r>
              <w:rPr>
                <w:rFonts w:ascii="Arial" w:cs="Arial" w:eastAsia="Arial" w:hAnsi="Arial"/>
                <w:sz w:val="11"/>
                <w:szCs w:val="11"/>
                <w:color w:val="auto"/>
              </w:rPr>
              <w:t>Name of each exchange on which registered</w:t>
            </w:r>
          </w:p>
        </w:tc>
        <w:tc>
          <w:tcPr>
            <w:tcW w:w="0" w:type="dxa"/>
            <w:vAlign w:val="bottom"/>
          </w:tcPr>
          <w:p>
            <w:pPr>
              <w:spacing w:after="0"/>
              <w:rPr>
                <w:sz w:val="1"/>
                <w:szCs w:val="1"/>
                <w:color w:val="auto"/>
              </w:rPr>
            </w:pPr>
          </w:p>
        </w:tc>
      </w:tr>
      <w:tr>
        <w:trPr>
          <w:trHeight w:val="106"/>
        </w:trPr>
        <w:tc>
          <w:tcPr>
            <w:tcW w:w="3640" w:type="dxa"/>
            <w:vAlign w:val="bottom"/>
            <w:tcBorders>
              <w:left w:val="single" w:sz="8" w:color="auto"/>
              <w:bottom w:val="single" w:sz="8" w:color="auto"/>
            </w:tcBorders>
            <w:gridSpan w:val="3"/>
          </w:tcPr>
          <w:p>
            <w:pPr>
              <w:ind w:left="20"/>
              <w:spacing w:after="0" w:line="106" w:lineRule="exact"/>
              <w:rPr>
                <w:sz w:val="20"/>
                <w:szCs w:val="20"/>
                <w:color w:val="auto"/>
              </w:rPr>
            </w:pPr>
            <w:r>
              <w:rPr>
                <w:rFonts w:ascii="Arial" w:cs="Arial" w:eastAsia="Arial" w:hAnsi="Arial"/>
                <w:sz w:val="11"/>
                <w:szCs w:val="11"/>
                <w:color w:val="auto"/>
              </w:rPr>
              <w:t>Common Stock, par value $0.001 per share</w:t>
            </w:r>
          </w:p>
        </w:tc>
        <w:tc>
          <w:tcPr>
            <w:tcW w:w="280" w:type="dxa"/>
            <w:vAlign w:val="bottom"/>
            <w:tcBorders>
              <w:bottom w:val="single" w:sz="8" w:color="auto"/>
              <w:right w:val="single" w:sz="8" w:color="auto"/>
            </w:tcBorders>
          </w:tcPr>
          <w:p>
            <w:pPr>
              <w:spacing w:after="0"/>
              <w:rPr>
                <w:sz w:val="9"/>
                <w:szCs w:val="9"/>
                <w:color w:val="auto"/>
              </w:rPr>
            </w:pPr>
          </w:p>
        </w:tc>
        <w:tc>
          <w:tcPr>
            <w:tcW w:w="3260" w:type="dxa"/>
            <w:vAlign w:val="bottom"/>
            <w:tcBorders>
              <w:bottom w:val="single" w:sz="8" w:color="auto"/>
              <w:right w:val="single" w:sz="8" w:color="auto"/>
            </w:tcBorders>
            <w:gridSpan w:val="5"/>
          </w:tcPr>
          <w:p>
            <w:pPr>
              <w:ind w:left="60"/>
              <w:spacing w:after="0" w:line="106" w:lineRule="exact"/>
              <w:rPr>
                <w:sz w:val="20"/>
                <w:szCs w:val="20"/>
                <w:color w:val="auto"/>
              </w:rPr>
            </w:pPr>
            <w:r>
              <w:rPr>
                <w:rFonts w:ascii="Arial" w:cs="Arial" w:eastAsia="Arial" w:hAnsi="Arial"/>
                <w:sz w:val="11"/>
                <w:szCs w:val="11"/>
                <w:color w:val="auto"/>
              </w:rPr>
              <w:t>MRKR</w:t>
            </w:r>
          </w:p>
        </w:tc>
        <w:tc>
          <w:tcPr>
            <w:tcW w:w="60" w:type="dxa"/>
            <w:vAlign w:val="bottom"/>
            <w:tcBorders>
              <w:bottom w:val="single" w:sz="8" w:color="auto"/>
            </w:tcBorders>
          </w:tcPr>
          <w:p>
            <w:pPr>
              <w:spacing w:after="0"/>
              <w:rPr>
                <w:sz w:val="9"/>
                <w:szCs w:val="9"/>
                <w:color w:val="auto"/>
              </w:rPr>
            </w:pPr>
          </w:p>
        </w:tc>
        <w:tc>
          <w:tcPr>
            <w:tcW w:w="3740" w:type="dxa"/>
            <w:vAlign w:val="bottom"/>
            <w:tcBorders>
              <w:bottom w:val="single" w:sz="8" w:color="auto"/>
              <w:right w:val="single" w:sz="8" w:color="auto"/>
            </w:tcBorders>
            <w:gridSpan w:val="3"/>
          </w:tcPr>
          <w:p>
            <w:pPr>
              <w:spacing w:after="0" w:line="106" w:lineRule="exact"/>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3267710</wp:posOffset>
                </wp:positionH>
                <wp:positionV relativeFrom="paragraph">
                  <wp:posOffset>-466725</wp:posOffset>
                </wp:positionV>
                <wp:extent cx="12065" cy="1206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5" o:spid="_x0000_s1030" style="position:absolute;margin-left:257.3pt;margin-top:-36.74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u w:val="single" w:color="auto"/>
          <w:color w:val="auto"/>
        </w:rPr>
        <w:t>None</w:t>
      </w:r>
    </w:p>
    <w:p>
      <w:pPr>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5"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of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71" w:lineRule="exact"/>
        <w:rPr>
          <w:sz w:val="20"/>
          <w:szCs w:val="20"/>
          <w:color w:val="auto"/>
        </w:rPr>
      </w:pPr>
    </w:p>
    <w:p>
      <w:pPr>
        <w:jc w:val="both"/>
        <w:ind w:right="20"/>
        <w:spacing w:after="0" w:line="143" w:lineRule="exact"/>
        <w:rPr>
          <w:sz w:val="20"/>
          <w:szCs w:val="20"/>
          <w:color w:val="auto"/>
        </w:rPr>
      </w:pPr>
      <w:r>
        <w:rPr>
          <w:rFonts w:ascii="Arial" w:cs="Arial" w:eastAsia="Arial" w:hAnsi="Arial"/>
          <w:sz w:val="11"/>
          <w:szCs w:val="11"/>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jc w:val="both"/>
        <w:ind w:right="20"/>
        <w:spacing w:after="0" w:line="14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jc w:val="both"/>
        <w:spacing w:after="0" w:line="235" w:lineRule="auto"/>
        <w:rPr>
          <w:sz w:val="20"/>
          <w:szCs w:val="20"/>
          <w:color w:val="auto"/>
        </w:rPr>
      </w:pPr>
      <w:r>
        <w:rPr>
          <w:rFonts w:ascii="Arial" w:cs="Arial" w:eastAsia="Arial" w:hAnsi="Arial"/>
          <w:sz w:val="11"/>
          <w:szCs w:val="11"/>
          <w:color w:val="auto"/>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137"/>
        </w:trPr>
        <w:tc>
          <w:tcPr>
            <w:tcW w:w="1900" w:type="dxa"/>
            <w:vAlign w:val="bottom"/>
            <w:vMerge w:val="restart"/>
          </w:tcPr>
          <w:p>
            <w:pPr>
              <w:spacing w:after="0"/>
              <w:rPr>
                <w:sz w:val="20"/>
                <w:szCs w:val="20"/>
                <w:color w:val="auto"/>
              </w:rPr>
            </w:pPr>
            <w:r>
              <w:rPr>
                <w:rFonts w:ascii="Arial" w:cs="Arial" w:eastAsia="Arial" w:hAnsi="Arial"/>
                <w:sz w:val="11"/>
                <w:szCs w:val="11"/>
                <w:color w:val="auto"/>
              </w:rPr>
              <w:t>Large accelerated filer</w:t>
            </w:r>
          </w:p>
        </w:tc>
        <w:tc>
          <w:tcPr>
            <w:tcW w:w="1320" w:type="dxa"/>
            <w:vAlign w:val="bottom"/>
          </w:tcPr>
          <w:p>
            <w:pPr>
              <w:ind w:left="920"/>
              <w:spacing w:after="0" w:line="111" w:lineRule="exact"/>
              <w:rPr>
                <w:sz w:val="20"/>
                <w:szCs w:val="20"/>
                <w:color w:val="auto"/>
              </w:rPr>
            </w:pPr>
            <w:r>
              <w:rPr>
                <w:rFonts w:ascii="MS PGothic" w:cs="MS PGothic" w:eastAsia="MS PGothic" w:hAnsi="MS PGothic"/>
                <w:sz w:val="11"/>
                <w:szCs w:val="11"/>
                <w:color w:val="auto"/>
              </w:rPr>
              <w:t>☐</w:t>
            </w:r>
          </w:p>
        </w:tc>
        <w:tc>
          <w:tcPr>
            <w:tcW w:w="3380" w:type="dxa"/>
            <w:vAlign w:val="bottom"/>
            <w:vMerge w:val="restart"/>
          </w:tcPr>
          <w:p>
            <w:pPr>
              <w:ind w:left="300"/>
              <w:spacing w:after="0"/>
              <w:rPr>
                <w:sz w:val="20"/>
                <w:szCs w:val="20"/>
                <w:color w:val="auto"/>
              </w:rPr>
            </w:pPr>
            <w:r>
              <w:rPr>
                <w:rFonts w:ascii="Arial" w:cs="Arial" w:eastAsia="Arial" w:hAnsi="Arial"/>
                <w:sz w:val="11"/>
                <w:szCs w:val="11"/>
                <w:color w:val="auto"/>
              </w:rPr>
              <w:t>Accelerated filer</w:t>
            </w:r>
          </w:p>
        </w:tc>
        <w:tc>
          <w:tcPr>
            <w:tcW w:w="1980" w:type="dxa"/>
            <w:vAlign w:val="bottom"/>
          </w:tcPr>
          <w:p>
            <w:pPr>
              <w:ind w:left="1900"/>
              <w:spacing w:after="0" w:line="71" w:lineRule="exact"/>
              <w:rPr>
                <w:sz w:val="20"/>
                <w:szCs w:val="20"/>
                <w:color w:val="auto"/>
              </w:rPr>
            </w:pPr>
            <w:r>
              <w:rPr>
                <w:rFonts w:ascii="MS PGothic" w:cs="MS PGothic" w:eastAsia="MS PGothic" w:hAnsi="MS PGothic"/>
                <w:sz w:val="7"/>
                <w:szCs w:val="7"/>
                <w:color w:val="auto"/>
                <w:w w:val="85"/>
              </w:rPr>
              <w:t>☐</w:t>
            </w:r>
          </w:p>
        </w:tc>
        <w:tc>
          <w:tcPr>
            <w:tcW w:w="0" w:type="dxa"/>
            <w:vAlign w:val="bottom"/>
          </w:tcPr>
          <w:p>
            <w:pPr>
              <w:spacing w:after="0"/>
              <w:rPr>
                <w:sz w:val="1"/>
                <w:szCs w:val="1"/>
                <w:color w:val="auto"/>
              </w:rPr>
            </w:pPr>
          </w:p>
        </w:tc>
      </w:tr>
      <w:tr>
        <w:trPr>
          <w:trHeight w:val="26"/>
        </w:trPr>
        <w:tc>
          <w:tcPr>
            <w:tcW w:w="1900" w:type="dxa"/>
            <w:vAlign w:val="bottom"/>
            <w:vMerge w:val="continue"/>
          </w:tcPr>
          <w:p>
            <w:pPr>
              <w:spacing w:after="0"/>
              <w:rPr>
                <w:sz w:val="2"/>
                <w:szCs w:val="2"/>
                <w:color w:val="auto"/>
              </w:rPr>
            </w:pPr>
          </w:p>
        </w:tc>
        <w:tc>
          <w:tcPr>
            <w:tcW w:w="1320" w:type="dxa"/>
            <w:vAlign w:val="bottom"/>
            <w:vMerge w:val="restart"/>
          </w:tcPr>
          <w:p>
            <w:pPr>
              <w:ind w:left="920"/>
              <w:spacing w:after="0" w:line="111" w:lineRule="exact"/>
              <w:rPr>
                <w:sz w:val="20"/>
                <w:szCs w:val="20"/>
                <w:color w:val="auto"/>
              </w:rPr>
            </w:pPr>
            <w:r>
              <w:rPr>
                <w:rFonts w:ascii="MS PGothic" w:cs="MS PGothic" w:eastAsia="MS PGothic" w:hAnsi="MS PGothic"/>
                <w:sz w:val="11"/>
                <w:szCs w:val="11"/>
                <w:color w:val="auto"/>
              </w:rPr>
              <w:t>☒</w:t>
            </w:r>
          </w:p>
        </w:tc>
        <w:tc>
          <w:tcPr>
            <w:tcW w:w="3380" w:type="dxa"/>
            <w:vAlign w:val="bottom"/>
            <w:vMerge w:val="continue"/>
          </w:tcPr>
          <w:p>
            <w:pPr>
              <w:spacing w:after="0"/>
              <w:rPr>
                <w:sz w:val="2"/>
                <w:szCs w:val="2"/>
                <w:color w:val="auto"/>
              </w:rPr>
            </w:pPr>
          </w:p>
        </w:tc>
        <w:tc>
          <w:tcPr>
            <w:tcW w:w="1980" w:type="dxa"/>
            <w:vAlign w:val="bottom"/>
            <w:vMerge w:val="restart"/>
          </w:tcPr>
          <w:p>
            <w:pPr>
              <w:ind w:left="1900"/>
              <w:spacing w:after="0" w:line="71" w:lineRule="exact"/>
              <w:rPr>
                <w:sz w:val="20"/>
                <w:szCs w:val="20"/>
                <w:color w:val="auto"/>
              </w:rPr>
            </w:pPr>
            <w:r>
              <w:rPr>
                <w:rFonts w:ascii="MS PGothic" w:cs="MS PGothic" w:eastAsia="MS PGothic" w:hAnsi="MS PGothic"/>
                <w:sz w:val="7"/>
                <w:szCs w:val="7"/>
                <w:color w:val="auto"/>
                <w:w w:val="85"/>
              </w:rPr>
              <w:t>☒</w:t>
            </w:r>
          </w:p>
        </w:tc>
        <w:tc>
          <w:tcPr>
            <w:tcW w:w="0" w:type="dxa"/>
            <w:vAlign w:val="bottom"/>
          </w:tcPr>
          <w:p>
            <w:pPr>
              <w:spacing w:after="0" w:line="20" w:lineRule="exact"/>
              <w:rPr>
                <w:sz w:val="1"/>
                <w:szCs w:val="1"/>
                <w:color w:val="auto"/>
              </w:rPr>
            </w:pPr>
          </w:p>
        </w:tc>
      </w:tr>
      <w:tr>
        <w:trPr>
          <w:trHeight w:val="111"/>
        </w:trPr>
        <w:tc>
          <w:tcPr>
            <w:tcW w:w="1900" w:type="dxa"/>
            <w:vAlign w:val="bottom"/>
            <w:vMerge w:val="restart"/>
          </w:tcPr>
          <w:p>
            <w:pPr>
              <w:spacing w:after="0"/>
              <w:rPr>
                <w:sz w:val="20"/>
                <w:szCs w:val="20"/>
                <w:color w:val="auto"/>
              </w:rPr>
            </w:pPr>
            <w:r>
              <w:rPr>
                <w:rFonts w:ascii="Arial" w:cs="Arial" w:eastAsia="Arial" w:hAnsi="Arial"/>
                <w:sz w:val="11"/>
                <w:szCs w:val="11"/>
                <w:color w:val="auto"/>
              </w:rPr>
              <w:t>Non-accelerated filer</w:t>
            </w:r>
          </w:p>
        </w:tc>
        <w:tc>
          <w:tcPr>
            <w:tcW w:w="1320" w:type="dxa"/>
            <w:vAlign w:val="bottom"/>
            <w:vMerge w:val="continue"/>
          </w:tcPr>
          <w:p>
            <w:pPr>
              <w:spacing w:after="0"/>
              <w:rPr>
                <w:sz w:val="9"/>
                <w:szCs w:val="9"/>
                <w:color w:val="auto"/>
              </w:rPr>
            </w:pPr>
          </w:p>
        </w:tc>
        <w:tc>
          <w:tcPr>
            <w:tcW w:w="3380" w:type="dxa"/>
            <w:vAlign w:val="bottom"/>
            <w:vMerge w:val="restart"/>
          </w:tcPr>
          <w:p>
            <w:pPr>
              <w:ind w:left="300"/>
              <w:spacing w:after="0"/>
              <w:rPr>
                <w:sz w:val="20"/>
                <w:szCs w:val="20"/>
                <w:color w:val="auto"/>
              </w:rPr>
            </w:pPr>
            <w:r>
              <w:rPr>
                <w:rFonts w:ascii="Arial" w:cs="Arial" w:eastAsia="Arial" w:hAnsi="Arial"/>
                <w:sz w:val="11"/>
                <w:szCs w:val="11"/>
                <w:color w:val="auto"/>
              </w:rPr>
              <w:t>Smaller reporting company</w:t>
            </w: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19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3380" w:type="dxa"/>
            <w:vAlign w:val="bottom"/>
            <w:vMerge w:val="continue"/>
          </w:tcPr>
          <w:p>
            <w:pPr>
              <w:spacing w:after="0"/>
              <w:rPr>
                <w:sz w:val="2"/>
                <w:szCs w:val="2"/>
                <w:color w:val="auto"/>
              </w:rPr>
            </w:pPr>
          </w:p>
        </w:tc>
        <w:tc>
          <w:tcPr>
            <w:tcW w:w="1980" w:type="dxa"/>
            <w:vAlign w:val="bottom"/>
            <w:vMerge w:val="restart"/>
          </w:tcPr>
          <w:p>
            <w:pPr>
              <w:ind w:left="1900"/>
              <w:spacing w:after="0" w:line="71" w:lineRule="exact"/>
              <w:rPr>
                <w:sz w:val="20"/>
                <w:szCs w:val="20"/>
                <w:color w:val="auto"/>
              </w:rPr>
            </w:pPr>
            <w:r>
              <w:rPr>
                <w:rFonts w:ascii="MS PGothic" w:cs="MS PGothic" w:eastAsia="MS PGothic" w:hAnsi="MS PGothic"/>
                <w:sz w:val="7"/>
                <w:szCs w:val="7"/>
                <w:color w:val="auto"/>
                <w:w w:val="85"/>
              </w:rPr>
              <w:t>☐</w:t>
            </w:r>
          </w:p>
        </w:tc>
        <w:tc>
          <w:tcPr>
            <w:tcW w:w="0" w:type="dxa"/>
            <w:vAlign w:val="bottom"/>
          </w:tcPr>
          <w:p>
            <w:pPr>
              <w:spacing w:after="0" w:line="20" w:lineRule="exact"/>
              <w:rPr>
                <w:sz w:val="1"/>
                <w:szCs w:val="1"/>
                <w:color w:val="auto"/>
              </w:rPr>
            </w:pPr>
          </w:p>
        </w:tc>
      </w:tr>
      <w:tr>
        <w:trPr>
          <w:trHeight w:val="111"/>
        </w:trPr>
        <w:tc>
          <w:tcPr>
            <w:tcW w:w="1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380" w:type="dxa"/>
            <w:vAlign w:val="bottom"/>
            <w:vMerge w:val="restart"/>
          </w:tcPr>
          <w:p>
            <w:pPr>
              <w:ind w:left="300"/>
              <w:spacing w:after="0"/>
              <w:rPr>
                <w:sz w:val="20"/>
                <w:szCs w:val="20"/>
                <w:color w:val="auto"/>
              </w:rPr>
            </w:pPr>
            <w:r>
              <w:rPr>
                <w:rFonts w:ascii="Arial" w:cs="Arial" w:eastAsia="Arial" w:hAnsi="Arial"/>
                <w:sz w:val="11"/>
                <w:szCs w:val="11"/>
                <w:color w:val="auto"/>
              </w:rPr>
              <w:t>Emerging growth company</w:t>
            </w: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38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ind w:right="20"/>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1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83" w:lineRule="exact"/>
        <w:rPr>
          <w:sz w:val="20"/>
          <w:szCs w:val="20"/>
          <w:color w:val="auto"/>
        </w:rPr>
      </w:pPr>
    </w:p>
    <w:p>
      <w:pPr>
        <w:jc w:val="both"/>
        <w:spacing w:after="0" w:line="130"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1"/>
          <w:szCs w:val="11"/>
          <w:color w:val="auto"/>
        </w:rPr>
        <w:t>☐</w:t>
      </w:r>
    </w:p>
    <w:p>
      <w:pPr>
        <w:spacing w:after="0" w:line="1"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 xml:space="preserve">Indicate by checkmark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71" w:lineRule="exact"/>
        <w:rPr>
          <w:sz w:val="20"/>
          <w:szCs w:val="20"/>
          <w:color w:val="auto"/>
        </w:rPr>
      </w:pPr>
    </w:p>
    <w:p>
      <w:pPr>
        <w:jc w:val="both"/>
        <w:ind w:right="20"/>
        <w:spacing w:after="0" w:line="248" w:lineRule="auto"/>
        <w:rPr>
          <w:sz w:val="20"/>
          <w:szCs w:val="20"/>
          <w:color w:val="auto"/>
        </w:rPr>
      </w:pPr>
      <w:r>
        <w:rPr>
          <w:rFonts w:ascii="Arial" w:cs="Arial" w:eastAsia="Arial" w:hAnsi="Arial"/>
          <w:sz w:val="11"/>
          <w:szCs w:val="11"/>
          <w:color w:val="auto"/>
        </w:rPr>
        <w:t>The aggregate market value of the voting and non-voting common equity held by non-affiliates of the registrant as of June 30, 2025 (the last day of the registrant’s most recently completed second fiscal quarter) based on the closing sale price of $1.53 as reported on the Nasdaq Capital Market as of that date was approximately $17,312,000.</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The registrant had 16,673,127 shares of common stock outstanding as of March 16, 2026.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24" w:lineRule="exact"/>
        <w:rPr>
          <w:sz w:val="20"/>
          <w:szCs w:val="20"/>
          <w:color w:val="auto"/>
        </w:rPr>
      </w:pPr>
    </w:p>
    <w:p>
      <w:pPr>
        <w:jc w:val="both"/>
        <w:ind w:right="20"/>
        <w:spacing w:after="0" w:line="235" w:lineRule="auto"/>
        <w:rPr>
          <w:sz w:val="20"/>
          <w:szCs w:val="20"/>
          <w:color w:val="auto"/>
        </w:rPr>
      </w:pPr>
      <w:r>
        <w:rPr>
          <w:rFonts w:ascii="Arial" w:cs="Arial" w:eastAsia="Arial" w:hAnsi="Arial"/>
          <w:sz w:val="11"/>
          <w:szCs w:val="11"/>
          <w:color w:val="auto"/>
        </w:rPr>
        <w:t>Portions of the registrant’s proxy statement relating to registrant’s 2025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41275</wp:posOffset>
                </wp:positionV>
                <wp:extent cx="697039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039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3.25pt" to="548.7pt,3.2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88265</wp:posOffset>
                </wp:positionV>
                <wp:extent cx="697039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0395" cy="4763"/>
                        </a:xfrm>
                        <a:prstGeom prst="line">
                          <a:avLst/>
                        </a:prstGeom>
                        <a:solidFill>
                          <a:srgbClr val="FFFFFF"/>
                        </a:solidFill>
                        <a:ln w="2904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6.95pt" to="548.7pt,6.95pt" o:allowincell="f" strokecolor="#000000" strokeweight="2.287pt"/>
            </w:pict>
          </mc:Fallback>
        </mc:AlternateContent>
      </w:r>
    </w:p>
    <w:p>
      <w:pPr>
        <w:sectPr>
          <w:pgSz w:w="11900" w:h="16834" w:orient="portrait"/>
          <w:cols w:equalWidth="0" w:num="1">
            <w:col w:w="10980"/>
          </w:cols>
          <w:pgMar w:left="460" w:top="1440" w:right="454"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5"/>
                <w:szCs w:val="15"/>
                <w:b w:val="1"/>
                <w:bCs w:val="1"/>
                <w:color w:val="auto"/>
              </w:rPr>
              <w:t>TABLE OF CONTENTS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920" w:type="dxa"/>
            <w:vAlign w:val="bottom"/>
            <w:vMerge w:val="restart"/>
          </w:tcPr>
          <w:p>
            <w:pPr>
              <w:spacing w:after="0"/>
              <w:rPr>
                <w:sz w:val="20"/>
                <w:szCs w:val="20"/>
                <w:color w:val="auto"/>
              </w:rPr>
            </w:pPr>
            <w:r>
              <w:rPr>
                <w:rFonts w:ascii="Arial" w:cs="Arial" w:eastAsia="Arial" w:hAnsi="Arial"/>
                <w:sz w:val="15"/>
                <w:szCs w:val="15"/>
                <w:b w:val="1"/>
                <w:bCs w:val="1"/>
                <w:color w:val="auto"/>
              </w:rPr>
              <w:t>Part I</w:t>
            </w:r>
          </w:p>
        </w:tc>
        <w:tc>
          <w:tcPr>
            <w:tcW w:w="3580" w:type="dxa"/>
            <w:vAlign w:val="bottom"/>
          </w:tcPr>
          <w:p>
            <w:pPr>
              <w:ind w:left="360"/>
              <w:spacing w:after="0"/>
              <w:rPr>
                <w:sz w:val="20"/>
                <w:szCs w:val="20"/>
                <w:color w:val="auto"/>
              </w:rPr>
            </w:pPr>
            <w:r>
              <w:rPr>
                <w:rFonts w:ascii="Arial" w:cs="Arial" w:eastAsia="Arial" w:hAnsi="Arial"/>
                <w:sz w:val="15"/>
                <w:szCs w:val="15"/>
                <w:color w:val="auto"/>
              </w:rPr>
              <w:t>FORWARD LOOKING STATEMENTS</w:t>
            </w:r>
          </w:p>
        </w:tc>
        <w:tc>
          <w:tcPr>
            <w:tcW w:w="164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ii</w:t>
            </w:r>
          </w:p>
        </w:tc>
        <w:tc>
          <w:tcPr>
            <w:tcW w:w="0" w:type="dxa"/>
            <w:vAlign w:val="bottom"/>
          </w:tcPr>
          <w:p>
            <w:pPr>
              <w:spacing w:after="0"/>
              <w:rPr>
                <w:sz w:val="1"/>
                <w:szCs w:val="1"/>
                <w:color w:val="auto"/>
              </w:rPr>
            </w:pPr>
          </w:p>
        </w:tc>
      </w:tr>
      <w:tr>
        <w:trPr>
          <w:trHeight w:val="161"/>
        </w:trPr>
        <w:tc>
          <w:tcPr>
            <w:tcW w:w="92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Business</w:t>
            </w:r>
          </w:p>
        </w:tc>
        <w:tc>
          <w:tcPr>
            <w:tcW w:w="12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1A.</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Risk Factors</w:t>
            </w:r>
          </w:p>
        </w:tc>
        <w:tc>
          <w:tcPr>
            <w:tcW w:w="128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1B.</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Unresolved Staff Comments</w:t>
            </w:r>
          </w:p>
        </w:tc>
        <w:tc>
          <w:tcPr>
            <w:tcW w:w="128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1C.</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Cybersecurity</w:t>
            </w:r>
          </w:p>
        </w:tc>
        <w:tc>
          <w:tcPr>
            <w:tcW w:w="128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2.</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Properties</w:t>
            </w:r>
          </w:p>
        </w:tc>
        <w:tc>
          <w:tcPr>
            <w:tcW w:w="128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3.</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Legal Proceedings</w:t>
            </w:r>
          </w:p>
        </w:tc>
        <w:tc>
          <w:tcPr>
            <w:tcW w:w="128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20"/>
                <w:szCs w:val="20"/>
                <w:color w:val="auto"/>
              </w:rPr>
            </w:pPr>
            <w:r>
              <w:rPr>
                <w:rFonts w:ascii="Arial" w:cs="Arial" w:eastAsia="Arial" w:hAnsi="Arial"/>
                <w:sz w:val="15"/>
                <w:szCs w:val="15"/>
                <w:color w:val="auto"/>
              </w:rPr>
              <w:t>Item 4.</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Mine Safety Disclosure</w:t>
            </w:r>
          </w:p>
        </w:tc>
        <w:tc>
          <w:tcPr>
            <w:tcW w:w="128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20"/>
                <w:szCs w:val="20"/>
                <w:color w:val="auto"/>
              </w:rPr>
            </w:pPr>
            <w:r>
              <w:rPr>
                <w:rFonts w:ascii="Arial" w:cs="Arial" w:eastAsia="Arial" w:hAnsi="Arial"/>
                <w:sz w:val="15"/>
                <w:szCs w:val="15"/>
                <w:b w:val="1"/>
                <w:bCs w:val="1"/>
                <w:color w:val="auto"/>
              </w:rPr>
              <w:t>Part II</w:t>
            </w:r>
          </w:p>
        </w:tc>
        <w:tc>
          <w:tcPr>
            <w:tcW w:w="3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5.</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Market For Registrant’s Common Equity, Related Stockholder Matters And Issuer Purchases Of Equity Securities</w:t>
            </w:r>
          </w:p>
        </w:tc>
        <w:tc>
          <w:tcPr>
            <w:tcW w:w="1280" w:type="dxa"/>
            <w:vAlign w:val="bottom"/>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6.</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[Reserved]</w:t>
            </w:r>
          </w:p>
        </w:tc>
        <w:tc>
          <w:tcPr>
            <w:tcW w:w="1280" w:type="dxa"/>
            <w:vAlign w:val="bottom"/>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7.</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280" w:type="dxa"/>
            <w:vAlign w:val="bottom"/>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7A.</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Quantitative And Qualitative Disclosures About Market Risk</w:t>
            </w:r>
          </w:p>
        </w:tc>
        <w:tc>
          <w:tcPr>
            <w:tcW w:w="128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8.</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Financial Statements</w:t>
            </w:r>
          </w:p>
        </w:tc>
        <w:tc>
          <w:tcPr>
            <w:tcW w:w="128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9.</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128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9A.</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Controls And Procedures</w:t>
            </w:r>
          </w:p>
        </w:tc>
        <w:tc>
          <w:tcPr>
            <w:tcW w:w="128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9B.</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Other Information</w:t>
            </w:r>
          </w:p>
        </w:tc>
        <w:tc>
          <w:tcPr>
            <w:tcW w:w="128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20"/>
                <w:szCs w:val="20"/>
                <w:color w:val="auto"/>
              </w:rPr>
            </w:pPr>
            <w:r>
              <w:rPr>
                <w:rFonts w:ascii="Arial" w:cs="Arial" w:eastAsia="Arial" w:hAnsi="Arial"/>
                <w:sz w:val="15"/>
                <w:szCs w:val="15"/>
                <w:color w:val="auto"/>
              </w:rPr>
              <w:t>Item 9C.</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Disclosure Regarding Foreign Jurisdictions that Prevent Inspections</w:t>
            </w:r>
          </w:p>
        </w:tc>
        <w:tc>
          <w:tcPr>
            <w:tcW w:w="1280" w:type="dxa"/>
            <w:vAlign w:val="bottom"/>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20"/>
                <w:szCs w:val="20"/>
                <w:color w:val="auto"/>
              </w:rPr>
            </w:pPr>
            <w:r>
              <w:rPr>
                <w:rFonts w:ascii="Arial" w:cs="Arial" w:eastAsia="Arial" w:hAnsi="Arial"/>
                <w:sz w:val="15"/>
                <w:szCs w:val="15"/>
                <w:b w:val="1"/>
                <w:bCs w:val="1"/>
                <w:color w:val="auto"/>
              </w:rPr>
              <w:t>Part III</w:t>
            </w:r>
          </w:p>
        </w:tc>
        <w:tc>
          <w:tcPr>
            <w:tcW w:w="3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10.</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Directors, Executive Officers And Corporate Governance</w:t>
            </w:r>
          </w:p>
        </w:tc>
        <w:tc>
          <w:tcPr>
            <w:tcW w:w="12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11.</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Executive Compensation</w:t>
            </w:r>
          </w:p>
        </w:tc>
        <w:tc>
          <w:tcPr>
            <w:tcW w:w="12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12.</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Security Ownership Of Certain Beneficial Owners And Management And Related Stockholder Matters</w:t>
            </w:r>
          </w:p>
        </w:tc>
        <w:tc>
          <w:tcPr>
            <w:tcW w:w="12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13.</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12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20"/>
                <w:szCs w:val="20"/>
                <w:color w:val="auto"/>
              </w:rPr>
            </w:pPr>
            <w:r>
              <w:rPr>
                <w:rFonts w:ascii="Arial" w:cs="Arial" w:eastAsia="Arial" w:hAnsi="Arial"/>
                <w:sz w:val="15"/>
                <w:szCs w:val="15"/>
                <w:color w:val="auto"/>
              </w:rPr>
              <w:t>Item 14.</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Principal Accounting Fees And Services</w:t>
            </w:r>
          </w:p>
        </w:tc>
        <w:tc>
          <w:tcPr>
            <w:tcW w:w="128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20"/>
                <w:szCs w:val="20"/>
                <w:color w:val="auto"/>
              </w:rPr>
            </w:pPr>
            <w:r>
              <w:rPr>
                <w:rFonts w:ascii="Arial" w:cs="Arial" w:eastAsia="Arial" w:hAnsi="Arial"/>
                <w:sz w:val="15"/>
                <w:szCs w:val="15"/>
                <w:b w:val="1"/>
                <w:bCs w:val="1"/>
                <w:color w:val="auto"/>
              </w:rPr>
              <w:t>Part IV</w:t>
            </w:r>
          </w:p>
        </w:tc>
        <w:tc>
          <w:tcPr>
            <w:tcW w:w="3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15.</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Exhibits, Financial Statement Schedules</w:t>
            </w:r>
          </w:p>
        </w:tc>
        <w:tc>
          <w:tcPr>
            <w:tcW w:w="128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20"/>
                <w:szCs w:val="20"/>
                <w:color w:val="auto"/>
              </w:rPr>
            </w:pPr>
            <w:r>
              <w:rPr>
                <w:rFonts w:ascii="Arial" w:cs="Arial" w:eastAsia="Arial" w:hAnsi="Arial"/>
                <w:sz w:val="15"/>
                <w:szCs w:val="15"/>
                <w:color w:val="auto"/>
              </w:rPr>
              <w:t>Item 16.</w:t>
            </w: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Form 10-K Summary</w:t>
            </w:r>
          </w:p>
        </w:tc>
        <w:tc>
          <w:tcPr>
            <w:tcW w:w="128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8440" w:type="dxa"/>
            <w:vAlign w:val="bottom"/>
            <w:gridSpan w:val="3"/>
          </w:tcPr>
          <w:p>
            <w:pPr>
              <w:ind w:left="360"/>
              <w:spacing w:after="0"/>
              <w:rPr>
                <w:sz w:val="20"/>
                <w:szCs w:val="20"/>
                <w:color w:val="auto"/>
              </w:rPr>
            </w:pPr>
            <w:r>
              <w:rPr>
                <w:rFonts w:ascii="Arial" w:cs="Arial" w:eastAsia="Arial" w:hAnsi="Arial"/>
                <w:sz w:val="15"/>
                <w:szCs w:val="15"/>
                <w:color w:val="auto"/>
              </w:rPr>
              <w:t>Signatures</w:t>
            </w:r>
          </w:p>
        </w:tc>
        <w:tc>
          <w:tcPr>
            <w:tcW w:w="128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2383155</wp:posOffset>
                </wp:positionH>
                <wp:positionV relativeFrom="paragraph">
                  <wp:posOffset>-2115185</wp:posOffset>
                </wp:positionV>
                <wp:extent cx="12700" cy="1270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8" o:spid="_x0000_s1033" style="position:absolute;margin-left:187.65pt;margin-top:-166.5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4" w:orient="portrait"/>
          <w:cols w:equalWidth="0" w:num="1">
            <w:col w:w="10640"/>
          </w:cols>
          <w:pgMar w:left="620" w:top="1440" w:right="634" w:bottom="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4" w:orient="portrait"/>
          <w:cols w:equalWidth="0" w:num="1">
            <w:col w:w="10640"/>
          </w:cols>
          <w:pgMar w:left="620" w:top="1440" w:right="634" w:bottom="114"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CAUTIONARY NOTE REGARDING FORWARD LOOKING STATEMENTS</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p>
      <w:pPr>
        <w:spacing w:after="0" w:line="139" w:lineRule="exact"/>
        <w:rPr>
          <w:sz w:val="20"/>
          <w:szCs w:val="20"/>
          <w:color w:val="auto"/>
        </w:rPr>
      </w:pPr>
    </w:p>
    <w:p>
      <w:pPr>
        <w:ind w:left="580" w:hanging="275"/>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as a going concern;</w:t>
      </w:r>
    </w:p>
    <w:p>
      <w:pPr>
        <w:spacing w:after="0" w:line="193" w:lineRule="exact"/>
        <w:rPr>
          <w:rFonts w:ascii="Arial" w:cs="Arial" w:eastAsia="Arial" w:hAnsi="Arial"/>
          <w:sz w:val="15"/>
          <w:szCs w:val="15"/>
          <w:color w:val="auto"/>
        </w:rPr>
      </w:pPr>
    </w:p>
    <w:p>
      <w:pPr>
        <w:jc w:val="both"/>
        <w:ind w:left="580" w:hanging="275"/>
        <w:spacing w:after="0" w:line="305" w:lineRule="auto"/>
        <w:tabs>
          <w:tab w:leader="none" w:pos="581"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timing, progress and results of clinical trials of multi antigen recognizing (“MAR”)-T cell therapies (formerly known as multi-tumor associated antigen-specific T cells, or multiTAA)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118" w:lineRule="exact"/>
        <w:rPr>
          <w:rFonts w:ascii="Arial" w:cs="Arial" w:eastAsia="Arial" w:hAnsi="Arial"/>
          <w:sz w:val="14"/>
          <w:szCs w:val="14"/>
          <w:color w:val="auto"/>
        </w:rPr>
      </w:pPr>
    </w:p>
    <w:p>
      <w:pPr>
        <w:ind w:left="580" w:hanging="275"/>
        <w:spacing w:after="0" w:line="299"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of any submission of filings for regulatory approval of product candidates and our ability to obtain and maintain regulatory approvals for product candidates for any indication;</w:t>
      </w:r>
    </w:p>
    <w:p>
      <w:pPr>
        <w:spacing w:after="0" w:line="119" w:lineRule="exact"/>
        <w:rPr>
          <w:rFonts w:ascii="Arial" w:cs="Arial" w:eastAsia="Arial" w:hAnsi="Arial"/>
          <w:sz w:val="15"/>
          <w:szCs w:val="15"/>
          <w:color w:val="auto"/>
        </w:rPr>
      </w:pPr>
    </w:p>
    <w:p>
      <w:pPr>
        <w:ind w:left="580" w:hanging="27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successfully commercialize product candidates;</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potential benefits, activity, effectiveness and safety of our product candidates;</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size of the patient populations, market acceptance and opportunity for and clinical utility of product candidates, if approved for commercial use;</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manufacturing capabilities and strategy, including the ease, scalability and commercial viability of our manufacturing methods and processes;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scope of any approved indications for product candidates;</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benefits of and our ability to maintain our relationships and collaborations with the Baylor College of Medicine (“BCM”) and other collaboration or strategic relationships;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manufacture our product candidates;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use the MAR-T cell platform to develop future product candidates;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estimates of our expenses, ongoing losses, future revenue, capital requirements and our needs for or ability to obtain additional funding;</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identify, recruit and retain key personnel;</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protect and enforce our intellectual property position for our product candidates, and the scope of such protection;</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financial performance;</w:t>
      </w:r>
    </w:p>
    <w:p>
      <w:pPr>
        <w:sectPr>
          <w:pgSz w:w="11900" w:h="16834" w:orient="portrait"/>
          <w:cols w:equalWidth="0" w:num="1">
            <w:col w:w="10640"/>
          </w:cols>
          <w:pgMar w:left="620" w:top="1440" w:right="634" w:bottom="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4" w:orient="portrait"/>
          <w:cols w:equalWidth="0" w:num="1">
            <w:col w:w="10640"/>
          </w:cols>
          <w:pgMar w:left="620" w:top="1440" w:right="634" w:bottom="114"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0" w:hanging="275"/>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competitive position and the development of and projections relating to our competitors or our industry; and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impact of laws and regulations.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33" w:lineRule="exact"/>
        <w:rPr>
          <w:sz w:val="20"/>
          <w:szCs w:val="20"/>
          <w:color w:val="auto"/>
        </w:rPr>
      </w:pPr>
    </w:p>
    <w:p>
      <w:pPr>
        <w:jc w:val="both"/>
        <w:spacing w:after="0" w:line="382" w:lineRule="auto"/>
        <w:rPr>
          <w:sz w:val="20"/>
          <w:szCs w:val="20"/>
          <w:color w:val="auto"/>
        </w:rPr>
      </w:pPr>
      <w:r>
        <w:rPr>
          <w:rFonts w:ascii="Arial" w:cs="Arial" w:eastAsia="Arial" w:hAnsi="Arial"/>
          <w:sz w:val="13"/>
          <w:szCs w:val="13"/>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Arial" w:cs="Arial" w:eastAsia="Arial" w:hAnsi="Arial"/>
          <w:sz w:val="15"/>
          <w:szCs w:val="15"/>
          <w:i w:val="1"/>
          <w:iCs w:val="1"/>
          <w:color w:val="auto"/>
        </w:rPr>
        <w:t>Securities Act of 1933</w:t>
      </w:r>
      <w:r>
        <w:rPr>
          <w:rFonts w:ascii="Arial" w:cs="Arial" w:eastAsia="Arial" w:hAnsi="Arial"/>
          <w:sz w:val="15"/>
          <w:szCs w:val="15"/>
          <w:color w:val="auto"/>
        </w:rPr>
        <w:t xml:space="preserve">, as amended; (iv) “Exchange Act” refers to the United States </w:t>
      </w:r>
      <w:r>
        <w:rPr>
          <w:rFonts w:ascii="Arial" w:cs="Arial" w:eastAsia="Arial" w:hAnsi="Arial"/>
          <w:sz w:val="15"/>
          <w:szCs w:val="15"/>
          <w:i w:val="1"/>
          <w:iCs w:val="1"/>
          <w:color w:val="auto"/>
        </w:rPr>
        <w:t>Securities Exchange Act of 1934</w:t>
      </w:r>
      <w:r>
        <w:rPr>
          <w:rFonts w:ascii="Arial" w:cs="Arial" w:eastAsia="Arial" w:hAnsi="Arial"/>
          <w:sz w:val="15"/>
          <w:szCs w:val="15"/>
          <w:color w:val="auto"/>
        </w:rPr>
        <w:t>, as amended; and (v) all dollar amounts refer to United States dollars unless otherwise indicated.</w:t>
      </w:r>
    </w:p>
    <w:p>
      <w:pPr>
        <w:sectPr>
          <w:pgSz w:w="11900" w:h="16834" w:orient="portrait"/>
          <w:cols w:equalWidth="0" w:num="1">
            <w:col w:w="10640"/>
          </w:cols>
          <w:pgMar w:left="620" w:top="1440" w:right="634" w:bottom="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4" w:orient="portrait"/>
          <w:cols w:equalWidth="0" w:num="1">
            <w:col w:w="10640"/>
          </w:cols>
          <w:pgMar w:left="620" w:top="1440" w:right="634" w:bottom="114"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are a clinical-stage immuno-oncology company specializing in the development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We anticipate to continue to advance two product candidates for 3 clinical indications as part of our MAR-T cell program for:</w:t>
      </w:r>
    </w:p>
    <w:p>
      <w:pPr>
        <w:spacing w:after="0" w:line="194" w:lineRule="exact"/>
        <w:rPr>
          <w:sz w:val="20"/>
          <w:szCs w:val="20"/>
          <w:color w:val="auto"/>
        </w:rPr>
      </w:pPr>
    </w:p>
    <w:p>
      <w:pPr>
        <w:ind w:left="580" w:hanging="275"/>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Autologous MAR-T cell product for the treatment of lymphoma and pancreatic cancer (MT-601)</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Off-the-Shelf (“OTS”) product in various indications (e.g., MT-401-OTS in AML or MDS)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We do not genetically engineer our MAR-T cell therapies and we believe that our product candidates are superior to T cells engineered with chimeric antigen receptors, or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CAR-T, for several reasons including:</w:t>
      </w:r>
    </w:p>
    <w:p>
      <w:pPr>
        <w:spacing w:after="0" w:line="194" w:lineRule="exact"/>
        <w:rPr>
          <w:sz w:val="20"/>
          <w:szCs w:val="20"/>
          <w:color w:val="auto"/>
        </w:rPr>
      </w:pPr>
    </w:p>
    <w:p>
      <w:pPr>
        <w:ind w:left="580" w:hanging="276"/>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Multiple targets → enhanced tumoricidal effect→ minimized tumor immune escape</w:t>
      </w:r>
    </w:p>
    <w:p>
      <w:pPr>
        <w:spacing w:after="0" w:line="193" w:lineRule="exact"/>
        <w:rPr>
          <w:rFonts w:ascii="Arial" w:cs="Arial" w:eastAsia="Arial" w:hAnsi="Arial"/>
          <w:sz w:val="15"/>
          <w:szCs w:val="15"/>
          <w:color w:val="auto"/>
        </w:rPr>
      </w:pPr>
    </w:p>
    <w:p>
      <w:pPr>
        <w:ind w:left="580" w:hanging="276"/>
        <w:spacing w:after="0" w:line="299" w:lineRule="auto"/>
        <w:tabs>
          <w:tab w:leader="none" w:pos="579" w:val="left"/>
        </w:tabs>
        <w:numPr>
          <w:ilvl w:val="0"/>
          <w:numId w:val="6"/>
        </w:numPr>
        <w:rPr>
          <w:rFonts w:ascii="Arial" w:cs="Arial" w:eastAsia="Arial" w:hAnsi="Arial"/>
          <w:sz w:val="15"/>
          <w:szCs w:val="15"/>
          <w:color w:val="auto"/>
        </w:rPr>
      </w:pPr>
      <w:r>
        <w:rPr>
          <w:rFonts w:ascii="Arial" w:cs="Arial" w:eastAsia="Arial" w:hAnsi="Arial"/>
          <w:sz w:val="15"/>
          <w:szCs w:val="15"/>
          <w:color w:val="auto"/>
        </w:rPr>
        <w:t>Clinical safety → no treatment-related side effects, including immune effector cell-associated neurotoxicity syndrome (ICANS) or other severe adverse effects (SAEs), were attributed to the use of MAR-T cell therapies to date</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Non-genetically engineered T cell products → selective expansion of tumor-specific T cells from a patient’s or donor’s blood capable of recognizing a broad range of tumor antigens → no risk of mutagenesis and reduced manufacturing complexity →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88900</wp:posOffset>
            </wp:positionV>
            <wp:extent cx="4952365" cy="1205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4952365" cy="120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For these reasons, we believe our endogenous T cell receptor-based therapies may provide meaningful clinical benefit and safety to patients with both hematological and solid tumors.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4" w:orient="portrait"/>
          <w:cols w:equalWidth="0" w:num="1">
            <w:col w:w="10640"/>
          </w:cols>
          <w:pgMar w:left="620" w:top="1440" w:right="634" w:bottom="115"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believe that the simplicity of our manufacturing process allows additional modifications to expand MAR-T cell recognition of cancer targets. For example, we are assessing the potential of combining MAR-T cell products with other products.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Company-Sponsored Clinical Development of MAR-T Cell Therapies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MT-601 for the Treatment of Lymphoma</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developed MT-601, a MAR-T cell product capable of recognizing multiple target antigens expressed by the tumor, thereby limiting tumor adaptation by negative antigen selection or downregulation.</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are evaluating the safety and efficacy of MT-601 in a Phase 1, multicenter, open-label study (APOLLO) in participants with relapsed lymphoma who either failed or are ineligible for anti-CD19 CAR-T cell therapy. MT-601 is a MAR-T cell product that specifically targets six different tumor antigens upregulated in lymphoma cells (Survivin, PRAME, WT1, NY-ESO-1, SSX-2, MAGEA-4). Although CD19-targeting CAR-T cell therapies have gained acceptance as treatment for patients with lymphoma, 40-60% of patients relapse within the first year of treatment (</w:t>
      </w:r>
      <w:r>
        <w:rPr>
          <w:rFonts w:ascii="Arial" w:cs="Arial" w:eastAsia="Arial" w:hAnsi="Arial"/>
          <w:sz w:val="14"/>
          <w:szCs w:val="14"/>
          <w:u w:val="single" w:color="auto"/>
          <w:color w:val="auto"/>
        </w:rPr>
        <w:t>Chong et al, N Engl J Med, 2021; Neelapu et al, Blood, 2023.</w:t>
      </w:r>
      <w:r>
        <w:rPr>
          <w:rFonts w:ascii="Arial" w:cs="Arial" w:eastAsia="Arial" w:hAnsi="Arial"/>
          <w:sz w:val="14"/>
          <w:szCs w:val="14"/>
          <w:color w:val="auto"/>
        </w:rPr>
        <w:t>). These post-CD19 CAR-T relapsed patients currently have no approved standard of care, illustrating a high unmet medical need and urgency for new therapies. In addition, CAR-T cells are associated with severe side effects such as CRS or ICANS and may increase the risk for secondary malignancies (U.S. Food and Drug Administration, November 28, 2023). Data from clinical trials to date have demonstrated that MAR-T cells are well tolerated with no evidence of ICANS. In addition, Marker’s non-engineered MAR-T cell approach selectively expands natural tumor-specific T cells from a patient’s blood that can recognize a broad range of tumor antigens, minimizing the risk of mutagenesis.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-283845</wp:posOffset>
            </wp:positionV>
            <wp:extent cx="228854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2288540" cy="32385"/>
                    </a:xfrm>
                    <a:prstGeom prst="rect">
                      <a:avLst/>
                    </a:prstGeom>
                    <a:noFill/>
                  </pic:spPr>
                </pic:pic>
              </a:graphicData>
            </a:graphic>
          </wp:anchor>
        </w:drawing>
      </w:r>
    </w:p>
    <w:p>
      <w:pPr>
        <w:spacing w:after="0" w:line="113"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In August 2022, the FDA cleared our IND application for MT-601 for the treatment of patients with relapsed non-Hodgkin lymphoma who have failed or are ineligible to receive anti-CD19 CAR-T cell treatment. The Phase 1 APOLLO trial was initiated in January 2023. In June 2023, we reported first enrollment in the dose escalation stage of the Phase 1 study. In August 2025, the Company provided an update on the progress and clinical observations from the Phase 1 study, with a data cutoff date of June, 2025. In this update, clinical data was available for a total of 24 B cell lymphoma patients from 7 clinical sites across the United States, including 15 patients with Non-Hodgkin Lymphoma (“NHL) and 9 patients with Hodgkin Lymphoma (“HL”). At the time of the data cutoff, 12 NHL and 9 HL patients have been assessed. Study participants showed objective responses and a favorable safety profile with and without lymphodepletion.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Key findings from the APOLLO study include:</w:t>
      </w:r>
    </w:p>
    <w:p>
      <w:pPr>
        <w:spacing w:after="0" w:line="187" w:lineRule="exact"/>
        <w:rPr>
          <w:sz w:val="20"/>
          <w:szCs w:val="20"/>
          <w:color w:val="auto"/>
        </w:rPr>
      </w:pPr>
    </w:p>
    <w:p>
      <w:pPr>
        <w:jc w:val="both"/>
        <w:ind w:left="580" w:hanging="275"/>
        <w:spacing w:after="0" w:line="236"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Safety </w:t>
      </w:r>
      <w:r>
        <w:rPr>
          <w:rFonts w:ascii="Arial" w:cs="Arial" w:eastAsia="Arial" w:hAnsi="Arial"/>
          <w:sz w:val="15"/>
          <w:szCs w:val="15"/>
          <w:color w:val="auto"/>
        </w:rPr>
        <w:t>– The dose escalation portion of the study tested doses ranging from 100x10</w:t>
      </w:r>
      <w:r>
        <w:rPr>
          <w:rFonts w:ascii="Arial" w:cs="Arial" w:eastAsia="Arial" w:hAnsi="Arial"/>
          <w:sz w:val="22"/>
          <w:szCs w:val="22"/>
          <w:color w:val="auto"/>
          <w:vertAlign w:val="superscript"/>
        </w:rPr>
        <w:t>6</w:t>
      </w:r>
      <w:r>
        <w:rPr>
          <w:rFonts w:ascii="Arial" w:cs="Arial" w:eastAsia="Arial" w:hAnsi="Arial"/>
          <w:sz w:val="15"/>
          <w:szCs w:val="15"/>
          <w:color w:val="auto"/>
        </w:rPr>
        <w:t>-400x10</w:t>
      </w:r>
      <w:r>
        <w:rPr>
          <w:rFonts w:ascii="Arial" w:cs="Arial" w:eastAsia="Arial" w:hAnsi="Arial"/>
          <w:sz w:val="22"/>
          <w:szCs w:val="22"/>
          <w:color w:val="auto"/>
          <w:vertAlign w:val="superscript"/>
        </w:rPr>
        <w:t>6</w:t>
      </w:r>
      <w:r>
        <w:rPr>
          <w:rFonts w:ascii="Arial" w:cs="Arial" w:eastAsia="Arial" w:hAnsi="Arial"/>
          <w:sz w:val="15"/>
          <w:szCs w:val="15"/>
          <w:b w:val="1"/>
          <w:bCs w:val="1"/>
          <w:color w:val="auto"/>
        </w:rPr>
        <w:t xml:space="preserve"> </w:t>
      </w:r>
      <w:r>
        <w:rPr>
          <w:rFonts w:ascii="Arial" w:cs="Arial" w:eastAsia="Arial" w:hAnsi="Arial"/>
          <w:sz w:val="15"/>
          <w:szCs w:val="15"/>
          <w:color w:val="auto"/>
        </w:rPr>
        <w:t>cells. Infusion of MT-601 was well tolerated in all study participants,</w:t>
      </w:r>
      <w:r>
        <w:rPr>
          <w:rFonts w:ascii="Arial" w:cs="Arial" w:eastAsia="Arial" w:hAnsi="Arial"/>
          <w:sz w:val="15"/>
          <w:szCs w:val="15"/>
          <w:b w:val="1"/>
          <w:bCs w:val="1"/>
          <w:color w:val="auto"/>
        </w:rPr>
        <w:t xml:space="preserve"> </w:t>
      </w:r>
      <w:r>
        <w:rPr>
          <w:rFonts w:ascii="Arial" w:cs="Arial" w:eastAsia="Arial" w:hAnsi="Arial"/>
          <w:sz w:val="15"/>
          <w:szCs w:val="15"/>
          <w:color w:val="auto"/>
        </w:rPr>
        <w:t>with no observation of immune-effector cell associated neurotoxicity syndrome (ICANS) and two reported Grade 1 cytokine release syndrome (“CRS”) events (fever; no treatment was required). No dose limiting toxicities (“DLTs”) or immune effector cell-associated neurotoxicity syndrome (“ICANS”) have been reported to date.</w:t>
      </w:r>
    </w:p>
    <w:p>
      <w:pPr>
        <w:spacing w:after="0" w:line="160" w:lineRule="exact"/>
        <w:rPr>
          <w:rFonts w:ascii="Arial" w:cs="Arial" w:eastAsia="Arial" w:hAnsi="Arial"/>
          <w:sz w:val="15"/>
          <w:szCs w:val="15"/>
          <w:color w:val="auto"/>
        </w:rPr>
      </w:pPr>
    </w:p>
    <w:p>
      <w:pPr>
        <w:jc w:val="both"/>
        <w:ind w:left="580" w:hanging="276"/>
        <w:spacing w:after="0" w:line="270"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Efficacy and Duration of Response </w:t>
      </w:r>
      <w:r>
        <w:rPr>
          <w:rFonts w:ascii="Arial" w:cs="Arial" w:eastAsia="Arial" w:hAnsi="Arial"/>
          <w:sz w:val="15"/>
          <w:szCs w:val="15"/>
          <w:color w:val="auto"/>
        </w:rPr>
        <w:t>– Eight out of 12 NHL patients achieved objective responses (66%), with 6 patients demonstrating complete response (“CR”)</w:t>
      </w:r>
      <w:r>
        <w:rPr>
          <w:rFonts w:ascii="Arial" w:cs="Arial" w:eastAsia="Arial" w:hAnsi="Arial"/>
          <w:sz w:val="15"/>
          <w:szCs w:val="15"/>
          <w:b w:val="1"/>
          <w:bCs w:val="1"/>
          <w:color w:val="auto"/>
        </w:rPr>
        <w:t xml:space="preserve"> </w:t>
      </w:r>
      <w:r>
        <w:rPr>
          <w:rFonts w:ascii="Arial" w:cs="Arial" w:eastAsia="Arial" w:hAnsi="Arial"/>
          <w:sz w:val="15"/>
          <w:szCs w:val="15"/>
          <w:color w:val="auto"/>
        </w:rPr>
        <w:t>as best response (50%). Durable responses were observed (range 3-24 months) with 5 NHL patients showing continued response over 6 months, including 3 patients with over 12 months durability. Seven out of 9 HL patients had objective responses (78%), with 1 patient demonstrating CR (11%) highlighting the versatility of MT-601 across multiple histologies.</w:t>
      </w:r>
    </w:p>
    <w:p>
      <w:pPr>
        <w:spacing w:after="0" w:line="141" w:lineRule="exact"/>
        <w:rPr>
          <w:sz w:val="20"/>
          <w:szCs w:val="20"/>
          <w:color w:val="auto"/>
        </w:rPr>
      </w:pPr>
    </w:p>
    <w:p>
      <w:pPr>
        <w:ind w:firstLine="1"/>
        <w:spacing w:after="0" w:line="299" w:lineRule="auto"/>
        <w:rPr>
          <w:sz w:val="20"/>
          <w:szCs w:val="20"/>
          <w:color w:val="auto"/>
        </w:rPr>
      </w:pPr>
      <w:r>
        <w:rPr>
          <w:rFonts w:ascii="Arial" w:cs="Arial" w:eastAsia="Arial" w:hAnsi="Arial"/>
          <w:sz w:val="15"/>
          <w:szCs w:val="15"/>
          <w:color w:val="auto"/>
        </w:rPr>
        <w:t>Based on these favorable safety and efficacy outcomes, the study has advanced to the dose expansion phase, evaluating MT-601 at the highest dose level in patients with Diffuse Large B Cell Lymphoma (“DLBCL”) who have relapsed after anti-CD19 CAR-T therapy or are ineligible for CAR-T treatment.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MT-601 for the Treatment of Pancreatic Cancer</w:t>
      </w:r>
    </w:p>
    <w:p>
      <w:pPr>
        <w:spacing w:after="0" w:line="191"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We reported data for a Phase 1/2 clinical trial (TACTOPS) conducted at Baylor College of Medicine demonstrating encouraging objective clinical responses and a disease control rate of 84.6% when combining MAR-T cells (targeting five TAAs) with frontline chemotherapy in patients with pancreatic cancer. To date, no cytokine release syndrome or neurotoxicity have been observed in this trial (Musher BL, Vasileiou S, Smaglo BG et al, Nat Med, 2026).</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4" w:orient="portrait"/>
          <w:cols w:equalWidth="0" w:num="1">
            <w:col w:w="10640"/>
          </w:cols>
          <w:pgMar w:left="620" w:top="1440" w:right="634" w:bottom="115"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In January 2022, the FDA granted orphan drug designation to MT-601 for the treatment of patients with pancreatic cancer. The FDA cleared our IND application for MT-601 in November 2022 to initiate the PANACEA study, a Phase 1 multicenter clinical trial in locally advanced, unresectable or metastatic pancreatic cancer to assess the safety and efficacy of MT-601 in combination with front-line chemotherapy. The PANACEA trial will include a dose escalation portion followed by a dose expansion portion. In 2024, the Company was awarded a $9.5 million grant from the Cancer Prevention &amp; Research Institute of Texas (“CPRIT”) and a $2 million grant from the National Institutes of Health (“NIH”) Small Business Innovation Research (“SBIR”) program to support the clinical investigation of MT-601 in patients with metastatic pancreatic cancer. With the support of these grants, we will be able to advance MT-601 in pancreatic cancer without affecting our operations in the ongoing study of MT-601 in patients with lymphoma.</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MT-401-OTS Program</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Since January 2024, Marker has been advancing MT-401 in an OTS program in patients with AML or MDS in the Phase 1 RAPID study. MT-401-OTS has the potential to provide a fast treatment option for patients with rapidly progressing diseases. The Company believes that using commercially available leukapheresis material from heathy donors can facilitate large-scale manufacturing and expedite treatment as fast as 72 hours, while also enabling broader scalability and accessibility of cell therapies at a lower per-dose cost. We have established a cellular inventory manufactured from heathy donors, and anticipate that a single donor could provide treatment for approximately 40 patients.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October 2025, the Company announced that the first patient has been treated in the OTS program, with encouraging preliminary safety data. This observation is consistent with the favorable safety profile and tolerability previously reported for MAR-T cells. The OTS product will be initially investigated in patients with AML or MDS, with the potential to be expanded to other indications.</w:t>
      </w:r>
    </w:p>
    <w:p>
      <w:pPr>
        <w:spacing w:after="0" w:line="137"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With the grant support from the FDA Orphan Products Grant program, NIH Small Business Innovation Research (“SBIR”) program and the Cancer Prevention and Research Institute of Texas (“CPRIT”), the Company will be able to advance the OTS program without affecting the investigation of its lead asset, MT-601, in patients with relapsed lymphoma.</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Pipeline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135890</wp:posOffset>
            </wp:positionV>
            <wp:extent cx="4095750" cy="2054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4095750" cy="2054860"/>
                    </a:xfrm>
                    <a:prstGeom prst="rect">
                      <a:avLst/>
                    </a:prstGeom>
                    <a:noFill/>
                  </pic:spPr>
                </pic:pic>
              </a:graphicData>
            </a:graphic>
          </wp:anchor>
        </w:drawing>
      </w:r>
    </w:p>
    <w:p>
      <w:pPr>
        <w:sectPr>
          <w:pgSz w:w="11900" w:h="16834" w:orient="portrait"/>
          <w:cols w:equalWidth="0" w:num="1">
            <w:col w:w="10580"/>
          </w:cols>
          <w:pgMar w:left="620" w:top="1440" w:right="69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4" w:orient="portrait"/>
          <w:cols w:equalWidth="0" w:num="1">
            <w:col w:w="10580"/>
          </w:cols>
          <w:pgMar w:left="620" w:top="1440" w:right="694" w:bottom="115"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MAR-T cells are designed to enhance the capacity of non-engineered T cells to identify and kill cancer by increasing the diversity and quantity of naturally occurring cancer killing T cells within the patient.</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goal is to become a leader in the development and commercialization of transformative immunotherapies for the treatment of hematological malignancies and solid tumors. We are developing a portfolio of highly differentiated T cell therapies utilizing the MAR-T cell platform that we believe has the potential to significantly disrupt the current cell therapy landscape, while substantially improving survival and quality of life for patients with cancers.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key elements of our strategy include:</w:t>
      </w:r>
    </w:p>
    <w:p>
      <w:pPr>
        <w:spacing w:after="0" w:line="195" w:lineRule="exact"/>
        <w:rPr>
          <w:sz w:val="20"/>
          <w:szCs w:val="20"/>
          <w:color w:val="auto"/>
        </w:rPr>
      </w:pPr>
    </w:p>
    <w:p>
      <w:pPr>
        <w:ind w:left="280" w:hanging="273"/>
        <w:spacing w:after="0"/>
        <w:tabs>
          <w:tab w:leader="none" w:pos="28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Expedite clinical development, regulatory approval, and commercialization of our lead product candidates.</w:t>
      </w:r>
    </w:p>
    <w:p>
      <w:pPr>
        <w:spacing w:after="0" w:line="192"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Based on the encouraging clinical data from the Phase 1 APOLLO study, we are prioritizing the advancement of MT-601 in patients with relapsed lymphoma and plan to advance the OTS program initially in patients with AML or MDS, with the potential to be expanded to other indications.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We intend to initiate future additional clinical trials in other tumor types based on emerging data.</w:t>
      </w:r>
    </w:p>
    <w:p>
      <w:pPr>
        <w:spacing w:after="0" w:line="195" w:lineRule="exact"/>
        <w:rPr>
          <w:sz w:val="20"/>
          <w:szCs w:val="20"/>
          <w:color w:val="auto"/>
        </w:rPr>
      </w:pPr>
    </w:p>
    <w:p>
      <w:pPr>
        <w:ind w:left="280" w:hanging="273"/>
        <w:spacing w:after="0"/>
        <w:tabs>
          <w:tab w:leader="none" w:pos="2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Continue to collaborate with our partners and increase our clinical activities to improve and develop adoptive cell therapy technologies.</w:t>
      </w:r>
    </w:p>
    <w:p>
      <w:pPr>
        <w:spacing w:after="0" w:line="192"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We intend to continue to contract and collaborate with third-parties to perform a wide variety of services to ensure the continuation of our research and development efforts, with the goal of optimizing our manufacturing process, product quality and commercial scalability. Marker previously optimized the MAR-T cell manufacturing process by decreasing the number of manipulations, semi-closing the system and reducing the total manufacturing time from the original 36 days (BCM studies) to nine days. We believe the improved manufacturing process enables products with increased antigen specificity and diversity, both of which have a strong linear correlation to anti-tumor activity and has resulted in a four-fold increase in potency in vitro.</w:t>
      </w:r>
    </w:p>
    <w:p>
      <w:pPr>
        <w:spacing w:after="0" w:line="147" w:lineRule="exact"/>
        <w:rPr>
          <w:sz w:val="20"/>
          <w:szCs w:val="20"/>
          <w:color w:val="auto"/>
        </w:rPr>
      </w:pPr>
    </w:p>
    <w:p>
      <w:pPr>
        <w:ind w:left="280" w:hanging="273"/>
        <w:spacing w:after="0"/>
        <w:tabs>
          <w:tab w:leader="none" w:pos="2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Invest in our platform to maximize the beneficial outcomes for cancer patients.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plan to explore new product opportunities by increasing and/or customizing the antigens we target to expand the indications in which the MAR-T cell products will be efficacious, including hematologic malignancies or solid tumors. Additionally, our research and development efforts may include the exploration of different doses and/or frequency of dosing and the relationship of these factors with potential therapeutic benefit.</w:t>
      </w:r>
    </w:p>
    <w:p>
      <w:pPr>
        <w:spacing w:after="0" w:line="138" w:lineRule="exact"/>
        <w:rPr>
          <w:sz w:val="20"/>
          <w:szCs w:val="20"/>
          <w:color w:val="auto"/>
        </w:rPr>
      </w:pPr>
    </w:p>
    <w:p>
      <w:pPr>
        <w:ind w:left="280" w:hanging="273"/>
        <w:spacing w:after="0"/>
        <w:tabs>
          <w:tab w:leader="none" w:pos="28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Leverage our relationships with our founding institutions, scientific founders and other scientific advisors.</w:t>
      </w:r>
    </w:p>
    <w:p>
      <w:pPr>
        <w:spacing w:after="0" w:line="19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and our other major institutional partners, to advance our therapies through the clinic and into commercialization.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Background and History of Cancer Immunotherapies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4" w:orient="portrait"/>
          <w:cols w:equalWidth="0" w:num="1">
            <w:col w:w="10640"/>
          </w:cols>
          <w:pgMar w:left="620" w:top="1440" w:right="634" w:bottom="115"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 Cell Therapy Overview</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field of adoptive cell transfer is currently comprised primarily of chimeric antigen receptor (“CAR”) and T cell receptor (“TCR”) engineered T cells and has emerged from principles of basic immunology to become a paradigm-shifting clinical immunotherapy. T cell therapy, which we believe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stimulated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TCRs and CARs have distinct signaling properties and antigen sensitivities. TCRs recognize peptide fragments from proteins expressed either inside the cell or on the cell surface, which are presented to T cells via major histocompatibility complex (“MHC”) molecules. CARs are programmed to recognize a specific cell surface protein. Because CARs are specific for a single antigen, or more precisely a single epitope within the single antigen, they are very narrowly focused and have limitations. When a CAR-T cell product is applied to a specific antigen of a heterogeneous disease, CAR-T cells may leave behind tumor cells that do not express the target antigen, which can lead to tumor relapse due to immune escape.</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approximately 11 amino acids and span the entire length of each of the target antigens. This typical footprint of peptides allows us to induce both CD4</w:t>
      </w:r>
      <w:r>
        <w:rPr>
          <w:rFonts w:ascii="Arial" w:cs="Arial" w:eastAsia="Arial" w:hAnsi="Arial"/>
          <w:sz w:val="20"/>
          <w:szCs w:val="20"/>
          <w:color w:val="auto"/>
          <w:vertAlign w:val="superscript"/>
        </w:rPr>
        <w:t>+</w:t>
      </w:r>
      <w:r>
        <w:rPr>
          <w:rFonts w:ascii="Arial" w:cs="Arial" w:eastAsia="Arial" w:hAnsi="Arial"/>
          <w:sz w:val="14"/>
          <w:szCs w:val="14"/>
          <w:color w:val="auto"/>
        </w:rPr>
        <w:t xml:space="preserve"> (helper) and CD8</w:t>
      </w:r>
      <w:r>
        <w:rPr>
          <w:rFonts w:ascii="Arial" w:cs="Arial" w:eastAsia="Arial" w:hAnsi="Arial"/>
          <w:sz w:val="20"/>
          <w:szCs w:val="20"/>
          <w:color w:val="auto"/>
          <w:vertAlign w:val="superscript"/>
        </w:rPr>
        <w:t>+</w:t>
      </w:r>
      <w:r>
        <w:rPr>
          <w:rFonts w:ascii="Arial" w:cs="Arial" w:eastAsia="Arial" w:hAnsi="Arial"/>
          <w:sz w:val="14"/>
          <w:szCs w:val="14"/>
          <w:color w:val="auto"/>
        </w:rPr>
        <w:t xml:space="preserve"> (cytotoxic) T cells. Following manufacture, these cells are frozen and stored for later infusion. Once infused, the natural characteristics of T cells take over and the T cells multiply in quantity, forming an army of T cells that kill the targeted cancer cells.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MAR-T Cell Therapies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are advancing two MAR-T cell therapies through clinical development:</w:t>
      </w:r>
    </w:p>
    <w:p>
      <w:pPr>
        <w:spacing w:after="0" w:line="193" w:lineRule="exact"/>
        <w:rPr>
          <w:sz w:val="20"/>
          <w:szCs w:val="20"/>
          <w:color w:val="auto"/>
        </w:rPr>
      </w:pPr>
    </w:p>
    <w:p>
      <w:pPr>
        <w:ind w:left="560"/>
        <w:spacing w:after="0" w:line="269" w:lineRule="auto"/>
        <w:rPr>
          <w:sz w:val="20"/>
          <w:szCs w:val="20"/>
          <w:color w:val="auto"/>
        </w:rPr>
      </w:pPr>
      <w:r>
        <w:rPr>
          <w:rFonts w:ascii="Arial" w:cs="Arial" w:eastAsia="Arial" w:hAnsi="Arial"/>
          <w:sz w:val="15"/>
          <w:szCs w:val="15"/>
          <w:i w:val="1"/>
          <w:iCs w:val="1"/>
          <w:color w:val="auto"/>
        </w:rPr>
        <w:t xml:space="preserve">Autologous MAR-T cell therapies – </w:t>
      </w:r>
      <w:r>
        <w:rPr>
          <w:rFonts w:ascii="Arial" w:cs="Arial" w:eastAsia="Arial" w:hAnsi="Arial"/>
          <w:sz w:val="15"/>
          <w:szCs w:val="15"/>
          <w:color w:val="auto"/>
        </w:rPr>
        <w:t>The autologous product targets the NY-ESO-1, PRAME, MAGE - A4, Survivin, WT1 and SSX2 antigens (MT-601). We recently</w:t>
      </w:r>
      <w:r>
        <w:rPr>
          <w:rFonts w:ascii="Arial" w:cs="Arial" w:eastAsia="Arial" w:hAnsi="Arial"/>
          <w:sz w:val="15"/>
          <w:szCs w:val="15"/>
          <w:i w:val="1"/>
          <w:iCs w:val="1"/>
          <w:color w:val="auto"/>
        </w:rPr>
        <w:t xml:space="preserve"> </w:t>
      </w:r>
      <w:r>
        <w:rPr>
          <w:rFonts w:ascii="Arial" w:cs="Arial" w:eastAsia="Arial" w:hAnsi="Arial"/>
          <w:sz w:val="15"/>
          <w:szCs w:val="15"/>
          <w:color w:val="auto"/>
        </w:rPr>
        <w:t>reported updated clinical data from our Phase 1 clinical trial investigating MT-601 for the treatment of patients with lymphoma who have relapsed after CAR-T therapy. In addition, we received an Investigational New Drug (IND) cleared by the U.S. FDA to investigate MT-601 in a Phase 1 trial in patients with pancreatic cancer in combination with frontline chemotherapy.</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4" w:orient="portrait"/>
          <w:cols w:equalWidth="0" w:num="1">
            <w:col w:w="10640"/>
          </w:cols>
          <w:pgMar w:left="620" w:top="1440" w:right="634" w:bottom="115"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0"/>
        <w:spacing w:after="0" w:line="305" w:lineRule="auto"/>
        <w:rPr>
          <w:sz w:val="20"/>
          <w:szCs w:val="20"/>
          <w:color w:val="auto"/>
        </w:rPr>
      </w:pPr>
      <w:r>
        <w:rPr>
          <w:rFonts w:ascii="Arial" w:cs="Arial" w:eastAsia="Arial" w:hAnsi="Arial"/>
          <w:sz w:val="14"/>
          <w:szCs w:val="14"/>
          <w:i w:val="1"/>
          <w:iCs w:val="1"/>
          <w:color w:val="auto"/>
        </w:rPr>
        <w:t xml:space="preserve">Off-the-Shelf (“OTS”) MAR-T cell therapies – </w:t>
      </w:r>
      <w:r>
        <w:rPr>
          <w:rFonts w:ascii="Arial" w:cs="Arial" w:eastAsia="Arial" w:hAnsi="Arial"/>
          <w:sz w:val="14"/>
          <w:szCs w:val="14"/>
          <w:color w:val="auto"/>
        </w:rPr>
        <w:t>The OTS product targets WT1, NY-ESO-1, PRAME, and Surviving antigens (MT-401-OTS). Enrolled patients are</w:t>
      </w:r>
      <w:r>
        <w:rPr>
          <w:rFonts w:ascii="Arial" w:cs="Arial" w:eastAsia="Arial" w:hAnsi="Arial"/>
          <w:sz w:val="14"/>
          <w:szCs w:val="14"/>
          <w:i w:val="1"/>
          <w:iCs w:val="1"/>
          <w:color w:val="auto"/>
        </w:rPr>
        <w:t xml:space="preserve"> </w:t>
      </w:r>
      <w:r>
        <w:rPr>
          <w:rFonts w:ascii="Arial" w:cs="Arial" w:eastAsia="Arial" w:hAnsi="Arial"/>
          <w:sz w:val="14"/>
          <w:szCs w:val="14"/>
          <w:color w:val="auto"/>
        </w:rPr>
        <w:t>matched to the pre-manufactured inventory of MT-401-OTS products based on their human leukocyte antigen (“HLA”). Because the MT-401-OTS product inventory is pre-manufactured, the T cell product is delivered to the patient in a significantly shorter amount of time than a patient-specific T cell product.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While the blood source and the antigens for stimulation differ between our autologous and OTS products, the manufacturing process for each product is identical.</w:t>
      </w:r>
    </w:p>
    <w:p>
      <w:pPr>
        <w:spacing w:after="0" w:line="205"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74930</wp:posOffset>
            </wp:positionV>
            <wp:extent cx="3209925" cy="1655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320992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While single-antigen specific therapies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spacing w:after="0" w:line="13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Our solution to the problem of tumor heterogeneity is the development of T cell products that are intended to simultaneously attack multiple tumor-expressed antigens and thereby enable more complete initial tumor targeting, thus minimizing the subsequent opportunity for the cancer to engage escape mechanisms. We believe that by targeting up to six tumor-specific antigens, our MAR-T cell approach facilitates robust killing of targeted cancer cells and minimizes tumor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1791335</wp:posOffset>
            </wp:positionH>
            <wp:positionV relativeFrom="paragraph">
              <wp:posOffset>88265</wp:posOffset>
            </wp:positionV>
            <wp:extent cx="3180715" cy="1473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3180715" cy="147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believe our proprietary MAR-T cell platform may have meaningful advantages over current CAR and TCR-engineered cell therapy approaches. Compared to current gene-modified T cell therapies, the MAR-T cell product candidates are characterized by the following:</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4" w:orient="portrait"/>
          <w:cols w:equalWidth="0" w:num="1">
            <w:col w:w="10640"/>
          </w:cols>
          <w:pgMar w:left="620" w:top="1440" w:right="634" w:bottom="115"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hanging="273"/>
        <w:spacing w:after="0"/>
        <w:tabs>
          <w:tab w:leader="none" w:pos="28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Clinical benefits observed in early-stage clinical trials in multiple cancer indications.</w:t>
      </w:r>
    </w:p>
    <w:p>
      <w:pPr>
        <w:spacing w:after="0" w:line="19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Based on our observations in clinical trials in AML, pancreatic cancer, lymphoma, ALL and MM, we believe that the MAR-T cell therapies have the potential to mediate a meaningful anti-tumor effect, as well as significant in vivo expansion of T cells. For example, in BCM’s Phase 1 clinical trial in lymphoma (TACTAL), there were complete responses, or CRs, in six of the fifteen evaluable patients with both Hodgkin lymphoma and non-Hodgkin lymphoma with active disease. Significantly, no patient with a CR has subsequently relapsed with disease, whereas typically 30% or more of patients with CR in reported CAR-T studies relapse within one year (Vasileiou et al., J Clin Oncol, 2021). In patient results to date in this trial, observed therapeutic responses appear to be highly durable, with some patients being relapse-free beyond five years. In 2023, Marker treated the first patient in the Phase 1 APOLLO trial investigating the safety and efficacy of MT-601 in patients with lymphoma. Marker recently provided an update on the progress and clinical observations from the study highlighting durable objective responses and a favorable safety profile in relapsed lymphoma.</w:t>
      </w:r>
    </w:p>
    <w:p>
      <w:pPr>
        <w:spacing w:after="0" w:line="133" w:lineRule="exact"/>
        <w:rPr>
          <w:sz w:val="20"/>
          <w:szCs w:val="20"/>
          <w:color w:val="auto"/>
        </w:rPr>
      </w:pPr>
    </w:p>
    <w:p>
      <w:pPr>
        <w:ind w:left="280" w:hanging="273"/>
        <w:spacing w:after="0"/>
        <w:tabs>
          <w:tab w:leader="none" w:pos="28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Non-genetically modified T cells.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Unlike CAR and TCR-based approaches, the MAR-T cell therapy does not require genetic modification of T cells, a costly and complex process that significantly complicates the manufacturing of a patient product. We believe our MAR-T cell therapy represents a safe alternative to CAR-T cells and can be manufactured at a fraction of the cost of a gene-modified T cell product, with substantially reduced complexity of manufacturing.</w:t>
      </w:r>
    </w:p>
    <w:p>
      <w:pPr>
        <w:spacing w:after="0" w:line="134" w:lineRule="exact"/>
        <w:rPr>
          <w:sz w:val="20"/>
          <w:szCs w:val="20"/>
          <w:color w:val="auto"/>
        </w:rPr>
      </w:pPr>
    </w:p>
    <w:p>
      <w:pPr>
        <w:ind w:left="280" w:hanging="273"/>
        <w:spacing w:after="0"/>
        <w:tabs>
          <w:tab w:leader="none" w:pos="280"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Low incidence rate of adverse events.</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As of February 2026, the infusion of MAR-T cells was generally well tolerated by the patients across clinical trials in hematological and solid tumor indications, and no dose limiting toxicities or neurotoxicity were attributed to the use of MAR-T cells to date. This appears to compare favorably with published CD19 CAR-T studies that have been associated with substantial tolerability and safety concerns, and investigations by the FDA regarding the risk of CAR-T cell therapies to potentially induce secondary cancers.</w:t>
      </w:r>
    </w:p>
    <w:p>
      <w:pPr>
        <w:spacing w:after="0" w:line="100" w:lineRule="exact"/>
        <w:rPr>
          <w:sz w:val="20"/>
          <w:szCs w:val="20"/>
          <w:color w:val="auto"/>
        </w:rPr>
      </w:pPr>
    </w:p>
    <w:p>
      <w:pPr>
        <w:ind w:left="280" w:hanging="273"/>
        <w:spacing w:after="0"/>
        <w:tabs>
          <w:tab w:leader="none" w:pos="28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Capable of addressing a broad repertoire of cancer cells.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six different tumor-associated antigens. The six antigen targets can be recognized by a very wide range of T cells, and we believe that this multi antigen approach facilitates robust killing of targeted cancer cells and minimizes tumor escape.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Development of Our MAR-T Cell Therapies by BCM</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following clinical trials were conducted by BCM pursuant to our strategic alliance. In each trial, correlative studies showed significant expansion of MAR-T cells in vivo.</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Lymphoma</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BCM evaluated MAR-T cells (5 TAA product) in a Phase 1 clinical trial for the treatment of patients with lymphoma. A total of 32 patients received two protocol-specified infusions of MAR-T cells, 14 with Hodgkin lymphoma, or HL, and 18 with aggressive non-Hodgkin lymphoma, or NHL.</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4" w:orient="portrait"/>
          <w:cols w:equalWidth="0" w:num="1">
            <w:col w:w="10640"/>
          </w:cols>
          <w:pgMar w:left="620" w:top="1440" w:right="634" w:bottom="115"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1"/>
        <w:spacing w:after="0" w:line="285" w:lineRule="auto"/>
        <w:rPr>
          <w:sz w:val="20"/>
          <w:szCs w:val="20"/>
          <w:color w:val="auto"/>
        </w:rPr>
      </w:pPr>
      <w:r>
        <w:rPr>
          <w:rFonts w:ascii="Arial" w:cs="Arial" w:eastAsia="Arial" w:hAnsi="Arial"/>
          <w:sz w:val="14"/>
          <w:szCs w:val="14"/>
          <w:color w:val="auto"/>
        </w:rPr>
        <w:t>As reported in a publication by Vasileiou et al., BCM had treated 15 patients with active disease (active lymphoma group), all of whom had completed a follow-up period beyond three months post-infusion. These patients were heavily pre-treated and had failed a median of five prior lines of therapy (range four to eight) for the HL patients and a median of three prior lines of therapy (range three to four) for the NHL patients. As illustrated below, in the active lymphoma group, six patients achieved CR and nine patients had experienced stable disease. None of the patients in CR had relapsed, and the range for the duration of CR in these patients was between two and over five years after being infused with MAR-T cells with the exception of one patient who died of an unrelated pneumonia while in a CR. Responses in all six patients who entered CR were associated with an expansion of infused T cells, as well as induction of broad-based antigen spreading across many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98425</wp:posOffset>
            </wp:positionV>
            <wp:extent cx="4879975" cy="2715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4879975" cy="2715895"/>
                    </a:xfrm>
                    <a:prstGeom prst="rect">
                      <a:avLst/>
                    </a:prstGeom>
                    <a:noFill/>
                  </pic:spPr>
                </pic:pic>
              </a:graphicData>
            </a:graphic>
          </wp:anchor>
        </w:drawing>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4" w:orient="portrait"/>
          <w:cols w:equalWidth="0" w:num="1">
            <w:col w:w="10640"/>
          </w:cols>
          <w:pgMar w:left="620" w:top="1440" w:right="634" w:bottom="115"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BCM also treated 17 patients, including one patient who was treated a second time after a relapse, in remission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responses ranged from approximately nine months to over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93345</wp:posOffset>
            </wp:positionV>
            <wp:extent cx="4909185" cy="2715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4909185" cy="271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In both treatment groups, the MAR-T cells were well tolerated, with no drug-related serious adverse events.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Pancreatic Cancer</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In May 2020, we reported interim data from an ongoing Phase 1/2 clinical trial investigating MAR-T cells for the treatment of pancreatic adenocarcinoma being conducted by BCM. In 2020, we reported that in this trial, BCM administered MAR-T cells to a total of 31 patients with advanced or borderline resectable pancreatic adenocarcinoma in three arms: 13 patients in Arm A, which included patients with unresectable/metastatic disease who were responding to standard first-line chemotherapy; 12 patients in Arm B, which included patients with progressive disease or therapy intolerance; and eight patients in Arm C, which includes patients with surgically resectable disease.</w:t>
      </w:r>
    </w:p>
    <w:p>
      <w:pPr>
        <w:spacing w:after="0" w:line="12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Overall, we have observed a clinical benefit correlated with the detection of tumor-reactive T cells in patient peripheral blood (Arms A, B and C) and within tumor biopsy samples (Arm C) post-infusion. No cytokine release syndrome or neurotoxicity has been observed in any arm of the trial to date.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4" w:orient="portrait"/>
          <w:cols w:equalWidth="0" w:num="1">
            <w:col w:w="10640"/>
          </w:cols>
          <w:pgMar w:left="620" w:top="1440" w:right="634" w:bottom="115"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Arm A was designed to evaluate the safety and potential efficacy of using MAR-T cell therapy as part of first-line treatment for patients with pancreatic cancer. These patients in the chemo-responsive arm have completed at least three months of standard-of-care chemotherapy (gemcitabine/nab-paclitaxel or FOLFIRINOX), which is the period during which a response to chemotherapy would typically occur, before receiving up to six administrations of MAR-T cell therapy in conjunction with chemotherapy.</w:t>
      </w:r>
    </w:p>
    <w:p>
      <w:pPr>
        <w:spacing w:after="0" w:line="118" w:lineRule="exact"/>
        <w:rPr>
          <w:sz w:val="20"/>
          <w:szCs w:val="20"/>
          <w:color w:val="auto"/>
        </w:rPr>
      </w:pPr>
    </w:p>
    <w:p>
      <w:pPr>
        <w:ind w:left="560" w:hanging="278"/>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Out of the 13 evaluable patients (best overall response):</w:t>
      </w:r>
    </w:p>
    <w:p>
      <w:pPr>
        <w:spacing w:after="0" w:line="194" w:lineRule="exact"/>
        <w:rPr>
          <w:sz w:val="20"/>
          <w:szCs w:val="20"/>
          <w:color w:val="auto"/>
        </w:rPr>
      </w:pPr>
    </w:p>
    <w:p>
      <w:pPr>
        <w:ind w:left="1120" w:hanging="267"/>
        <w:spacing w:after="0"/>
        <w:tabs>
          <w:tab w:leader="none" w:pos="11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four patients experienced objective responses after administration of MAR-T cells;</w:t>
      </w:r>
    </w:p>
    <w:p>
      <w:pPr>
        <w:spacing w:after="0" w:line="193" w:lineRule="exact"/>
        <w:rPr>
          <w:rFonts w:ascii="Arial" w:cs="Arial" w:eastAsia="Arial" w:hAnsi="Arial"/>
          <w:sz w:val="15"/>
          <w:szCs w:val="15"/>
          <w:color w:val="auto"/>
        </w:rPr>
      </w:pPr>
    </w:p>
    <w:p>
      <w:pPr>
        <w:ind w:left="1120" w:hanging="267"/>
        <w:spacing w:after="0"/>
        <w:tabs>
          <w:tab w:leader="none" w:pos="11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one patient experienced a radiographic complete response occurring at month nine after starting chemotherapy;</w:t>
      </w:r>
    </w:p>
    <w:p>
      <w:pPr>
        <w:spacing w:after="0" w:line="193" w:lineRule="exact"/>
        <w:rPr>
          <w:rFonts w:ascii="Arial" w:cs="Arial" w:eastAsia="Arial" w:hAnsi="Arial"/>
          <w:sz w:val="15"/>
          <w:szCs w:val="15"/>
          <w:color w:val="auto"/>
        </w:rPr>
      </w:pPr>
    </w:p>
    <w:p>
      <w:pPr>
        <w:ind w:left="1120" w:hanging="267"/>
        <w:spacing w:after="0"/>
        <w:tabs>
          <w:tab w:leader="none" w:pos="11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three patients experienced partial responses per RECIST occurring at six-nine months after starting chemotherapy;</w:t>
      </w:r>
    </w:p>
    <w:p>
      <w:pPr>
        <w:spacing w:after="0" w:line="193" w:lineRule="exact"/>
        <w:rPr>
          <w:rFonts w:ascii="Arial" w:cs="Arial" w:eastAsia="Arial" w:hAnsi="Arial"/>
          <w:sz w:val="15"/>
          <w:szCs w:val="15"/>
          <w:color w:val="auto"/>
        </w:rPr>
      </w:pPr>
    </w:p>
    <w:p>
      <w:pPr>
        <w:ind w:left="1120" w:hanging="266"/>
        <w:spacing w:after="0"/>
        <w:tabs>
          <w:tab w:leader="none" w:pos="11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six patients experienced stable disease;</w:t>
      </w:r>
    </w:p>
    <w:p>
      <w:pPr>
        <w:spacing w:after="0" w:line="193" w:lineRule="exact"/>
        <w:rPr>
          <w:rFonts w:ascii="Arial" w:cs="Arial" w:eastAsia="Arial" w:hAnsi="Arial"/>
          <w:sz w:val="15"/>
          <w:szCs w:val="15"/>
          <w:color w:val="auto"/>
        </w:rPr>
      </w:pPr>
    </w:p>
    <w:p>
      <w:pPr>
        <w:ind w:left="1120" w:hanging="266"/>
        <w:spacing w:after="0"/>
        <w:tabs>
          <w:tab w:leader="none" w:pos="11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one patient experienced a mixed response.</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Patients had durable cancer control with nine of the 13 patients exceeding historical control of overall survival;</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Five patients enrolled in the study were not administered MAR-T cells, either because of disease progression (four patients) which made them ineligible for treatment, or because insufficient starting material from the patient was available for manufacturing (one patient);</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Evidence of epitope-spreading was observed in all responders, suggesting that the MAR-T cell therapy triggered the recruitment of a broader endogenous immune system response for improved anti-tumor activity;</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No infusion-related reactions, cytokine release syndrome or neurotoxicity was observed;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In patients responding to therapy, significant expansion of the infused MAR-T cell therapy was observed.</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Acute Myeloid Leukemia</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To date,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BCM conducted a Phase 1 AML/MDS clinical trial investigating MAR-T cells for the treatment of patients with post-transplant AML. In this trial, patients in remission with high risk for relapse, as well as patients with active disease post-transplant were treated. As reported in a 2021 publication by Lulla et al., 11 of the 17 patients in the adjuvant disease setting dosed with the MAR-T cell therapy after receiving an allogeneic HSCT did not relapse during the follow-up period of the study, with 11 of 15 patients (two patients were each treated during two different remissions) remaining alive (estimated two-year overall survival of 77%) at a median follow-up of 1.9 years post-infusion which compares favorably with HSCT outcomes for risk-matched AML/MDS patients post-HSCT.</w:t>
      </w:r>
    </w:p>
    <w:p>
      <w:pPr>
        <w:spacing w:after="0" w:line="146"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MAR-T cell infusion. Two of the eight patients achieved objective responses with one complete response and one partial response, with six patients continuing with stable disease.</w:t>
      </w:r>
    </w:p>
    <w:p>
      <w:pPr>
        <w:spacing w:after="0" w:line="141"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In this trial, the infusion of MAR-T cells was well tolerated, with no drug-related serious adverse events and no instances of greater than Grade 2 acute graft-versus-host disease or moderate-severe chronic GVHD. The maximum grade treatment-related adverse event was seen in one patient in the adjuvant disease group who had a possibly drug-related Grade 3 elevation of liver enzymes but was treated</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4" w:orient="portrait"/>
          <w:cols w:equalWidth="0" w:num="1">
            <w:col w:w="10640"/>
          </w:cols>
          <w:pgMar w:left="620" w:top="1440" w:right="634" w:bottom="115"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with prednisone with complete resolution. After discontinuing treatment and receiving decitabine, the patient relapsed and later re-enrolled in the trial in the active disease group and entered CR for 13 months and survived for 2.5 years.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Process Development and Manufacturing of the MAR-T Cell Therapies</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the manufacturing process, blood is drawn from either the individual patient (in the case of the autologous T cells) or from healthy donors/commercially available leukapheresis material (in the case of the OTS program).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spacing w:after="0" w:line="134"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After blood is drawn, PBMCs are isolated and used to manufacture a patient-specific product. These cells are placed inside a cell culture device and combined with an experimentally optimized mix of GMP-grade cytokines that is used to restore and enhance the functional capability of the cultured T cells. In addition, libraries of overlapping peptides, which we refer to as peptide pools, are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Inside the cell culture device, PBMCs, including T cells and antigen-presenting cells, are exposed to the stimulating peptide pools. This results in the selective expansion of T cells that specifically recognize the target antigens. At the end of the manufacturing process, the resulting product is a mix of helper (CD4+) and cytotoxic (CD8+) T cells that recognize the targeted antigens.</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Upon release of the final patient product, the cells are frozen and transported to the site where the cells will be administered.</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On February 22, 2024, we entered into a Master Services Agreement for Product Supply (the “MSA”) with Cell Ready for the provision of various products and services by Cell Ready. Cell Ready, which is owned by one of our former directors, Mr. John Wilson, is a contract development and manufacturing organization (CDMO). 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While BCM continues to supply us with products as we continue our clinical trials, in anticipation of the commencement of our larger pivotal trial for lymphoma in 2026, as well as the eventual need for commercial scale production, on June 16, 2025, the Company entered into a Statement of Work (the “SOW”) with Cellipont Bioservices (“Cellipont”), a leading cell therapy Contract Development and Manufacturing Organization (“CDMO”), for the manufacturing of MT-601, the Company’s lead MAR-T cell product. Pursuant to the SOW, Cellipont will provide technology transfer and cGMP manufacturing services to support the scale-up and production of MT-601 for Marker’s APOLLO study.</w:t>
      </w:r>
    </w:p>
    <w:p>
      <w:pPr>
        <w:spacing w:after="0" w:line="14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However, there is no guarantee that we will or have properly estimated our required manufacturing capacities or that the third parties on which we rely to manufacture our products will be able or willing to perform on our proposed timelines or to meet our manufacturing</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4" w:orient="portrait"/>
          <w:cols w:equalWidth="0" w:num="1">
            <w:col w:w="10640"/>
          </w:cols>
          <w:pgMar w:left="620" w:top="1440" w:right="634" w:bottom="115"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demands, if at all. If any of our third-party vendors experience disruptions, or otherwise cease or substantially reduce the amount of products they are willing to supply us, our business and operations could be adversely affected. See “Risk Factors”.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During the years ended December 31, 2025 and 2024, we incurred $0.8 million and $5.8 million, respectively, in expenses related to Cell Ready services and manufacturing costs, as well as $0.5 million during the year ended December 31, 2025 in connection with the termination of the MSA as noted above. During the years ended December 31, 2025 and 2024, we paid $2.6 million and $5.5 million, respectively related to Cell Ready invoices received. During the years ended December 31, 2025 and 2024, we incurred $3.2 million and approximately $7,000, respectively, in expenses related to BCM services and manufacturing costs. During the years ended December 31, 2025 and 2024, we paid approximately $3.0 million and $0.1 million related to BCM invoices received, respectively. During the years ended December 31, 2025 and 2024, we incurred $0.7 million and nil, respectively, in expenses related to Cellipont services and manufacturing costs. During the years ended December 31, 2025 and 2024, we paid $0.6 million and nil related to Cellipont invoices received,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6" w:lineRule="exact"/>
        <w:rPr>
          <w:sz w:val="20"/>
          <w:szCs w:val="20"/>
          <w:color w:val="auto"/>
        </w:rPr>
      </w:pPr>
    </w:p>
    <w:p>
      <w:pPr>
        <w:jc w:val="both"/>
        <w:ind w:firstLine="1"/>
        <w:spacing w:after="0" w:line="280" w:lineRule="auto"/>
        <w:rPr>
          <w:sz w:val="20"/>
          <w:szCs w:val="20"/>
          <w:color w:val="auto"/>
        </w:rPr>
      </w:pPr>
      <w:r>
        <w:rPr>
          <w:rFonts w:ascii="Arial" w:cs="Arial" w:eastAsia="Arial" w:hAnsi="Arial"/>
          <w:sz w:val="14"/>
          <w:szCs w:val="14"/>
          <w:color w:val="auto"/>
        </w:rPr>
        <w:t>We face competition from numerous pharmaceutical and biotechnology companies, as well as from academic institutions, private and public research institutions, and government agencies. Treatment of relapsed patients with lymphoma remains a challenge with relatively low overall survival rates. To date, there are four CD19-directed CAR-T cell therapies (Yescarta, Kymriah, Tecartus, and Bryanzi) approved for patients with relapsed lymphoma. However, up to 60% of CD19 CAR-T cell treated patients will relapse, particularly in the third line setting (Chong EA et al, N Engl J Med, 2021). This highlights a significant unmet medical need for alternative and more effective treatments. Our MAR-T cell drug candidates may compete with product candidates from a number of companies, which are developing various types of immunotherapies to treat cancer, including non-CD19 targeting CAR-T cells that target different antigens beyond CD19, multi-targeted CAR-T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option to the lymphoma patient population.</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believe that our non-engineered T cell therapy approaches will be synergistic and may improve therapies being developed by potential competitors. Many companies and institutions, either alone or together with their collaborative partners, have substantially greater financial, technical and human resources, and significantly greater experience than we do in the following:</w:t>
      </w:r>
    </w:p>
    <w:p>
      <w:pPr>
        <w:spacing w:after="0" w:line="137" w:lineRule="exact"/>
        <w:rPr>
          <w:sz w:val="20"/>
          <w:szCs w:val="20"/>
          <w:color w:val="auto"/>
        </w:rPr>
      </w:pPr>
    </w:p>
    <w:p>
      <w:pPr>
        <w:ind w:left="580" w:hanging="275"/>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drug discovery;</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developing products;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undertaking preclinical testing and clinical trials;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obtaining FDA and other regulatory approvals of products; and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manufacturing, marketing, distributing and selling products.</w:t>
      </w:r>
    </w:p>
    <w:p>
      <w:pPr>
        <w:spacing w:after="0" w:line="194"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Accordingly, our competitors may succeed in obtaining patent protection, receiving FDA and other regulatory approval or commercializing products that compete with our drug candidates.</w:t>
      </w:r>
    </w:p>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addition, any drug candidate that we successfully develop may compete with existing therapies that have long histories of safe and effective use. Competition may also arise from:</w:t>
      </w:r>
    </w:p>
    <w:p>
      <w:pPr>
        <w:spacing w:after="0" w:line="119" w:lineRule="exact"/>
        <w:rPr>
          <w:sz w:val="20"/>
          <w:szCs w:val="20"/>
          <w:color w:val="auto"/>
        </w:rPr>
      </w:pPr>
    </w:p>
    <w:p>
      <w:pPr>
        <w:ind w:left="580" w:hanging="275"/>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 drug development technologies and methods of preventing or reducing the incidence of disease;</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new small molecules; and/ or</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other classes of therapeutic agents.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4" w:orient="portrait"/>
          <w:cols w:equalWidth="0" w:num="1">
            <w:col w:w="10640"/>
          </w:cols>
          <w:pgMar w:left="620" w:top="1440" w:right="634" w:bottom="115"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face, and will continue to face,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Our ability to compete successfully will depend, in part, on our ability to:</w:t>
      </w:r>
    </w:p>
    <w:p>
      <w:pPr>
        <w:spacing w:after="0" w:line="194" w:lineRule="exact"/>
        <w:rPr>
          <w:sz w:val="20"/>
          <w:szCs w:val="20"/>
          <w:color w:val="auto"/>
        </w:rPr>
      </w:pPr>
    </w:p>
    <w:p>
      <w:pPr>
        <w:ind w:left="580" w:hanging="275"/>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develop proprietary products;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develop and maintain products that reach the market first, are technologically superior to and/or are of lower cost than other products in the market;</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attract and retain scientific, product development and sales and marketing personnel;</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obtain patent or other proprietary protection for our products and technologies;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obtain required regulatory approvals; and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manufacture, market, distribute and sell any products that we develop.</w:t>
      </w:r>
    </w:p>
    <w:p>
      <w:pPr>
        <w:spacing w:after="0" w:line="194" w:lineRule="exact"/>
        <w:rPr>
          <w:sz w:val="20"/>
          <w:szCs w:val="20"/>
          <w:color w:val="auto"/>
        </w:rPr>
      </w:pPr>
    </w:p>
    <w:p>
      <w:pPr>
        <w:jc w:val="both"/>
        <w:ind w:firstLine="1"/>
        <w:spacing w:after="0" w:line="261" w:lineRule="auto"/>
        <w:rPr>
          <w:sz w:val="20"/>
          <w:szCs w:val="20"/>
          <w:color w:val="auto"/>
        </w:rPr>
      </w:pPr>
      <w:r>
        <w:rPr>
          <w:rFonts w:ascii="Arial" w:cs="Arial" w:eastAsia="Arial" w:hAnsi="Arial"/>
          <w:sz w:val="15"/>
          <w:szCs w:val="15"/>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BCM Exclusive License Agreement</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MAR-T cell product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Exclusive License to BCM’s Subject Technology:</w:t>
      </w:r>
    </w:p>
    <w:p>
      <w:pPr>
        <w:spacing w:after="0" w:line="191" w:lineRule="exact"/>
        <w:rPr>
          <w:sz w:val="20"/>
          <w:szCs w:val="20"/>
          <w:color w:val="auto"/>
        </w:rPr>
      </w:pPr>
    </w:p>
    <w:p>
      <w:pPr>
        <w:ind w:left="160" w:hanging="153"/>
        <w:spacing w:after="0"/>
        <w:tabs>
          <w:tab w:leader="none" w:pos="1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“Generation of CTL Lines with Specificity Against Multiple Tumor Antigens or Multiple Viruses”</w:t>
      </w:r>
    </w:p>
    <w:p>
      <w:pPr>
        <w:spacing w:after="0" w:line="193" w:lineRule="exact"/>
        <w:rPr>
          <w:rFonts w:ascii="Arial" w:cs="Arial" w:eastAsia="Arial" w:hAnsi="Arial"/>
          <w:sz w:val="15"/>
          <w:szCs w:val="15"/>
          <w:color w:val="auto"/>
        </w:rPr>
      </w:pPr>
    </w:p>
    <w:p>
      <w:pPr>
        <w:ind w:left="160" w:hanging="153"/>
        <w:spacing w:after="0"/>
        <w:tabs>
          <w:tab w:leader="none" w:pos="1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“Pepmixes to Generate Multiviral CTLs with Broad Specificity”</w:t>
      </w:r>
    </w:p>
    <w:p>
      <w:pPr>
        <w:spacing w:after="0" w:line="193" w:lineRule="exact"/>
        <w:rPr>
          <w:rFonts w:ascii="Arial" w:cs="Arial" w:eastAsia="Arial" w:hAnsi="Arial"/>
          <w:sz w:val="15"/>
          <w:szCs w:val="15"/>
          <w:color w:val="auto"/>
        </w:rPr>
      </w:pPr>
    </w:p>
    <w:p>
      <w:pPr>
        <w:ind w:left="160" w:hanging="153"/>
        <w:spacing w:after="0"/>
        <w:tabs>
          <w:tab w:leader="none" w:pos="1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“Immunogenic Antigen Identification from a Pathogen and Correlation to Clinical Efficacy”</w:t>
      </w:r>
    </w:p>
    <w:p>
      <w:pPr>
        <w:spacing w:after="0" w:line="193" w:lineRule="exact"/>
        <w:rPr>
          <w:rFonts w:ascii="Arial" w:cs="Arial" w:eastAsia="Arial" w:hAnsi="Arial"/>
          <w:sz w:val="15"/>
          <w:szCs w:val="15"/>
          <w:color w:val="auto"/>
        </w:rPr>
      </w:pPr>
    </w:p>
    <w:p>
      <w:pPr>
        <w:ind w:left="160" w:hanging="153"/>
        <w:spacing w:after="0"/>
        <w:tabs>
          <w:tab w:leader="none" w:pos="1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 cell performance assay as a prognostic factor for clinical outcome”</w:t>
      </w:r>
    </w:p>
    <w:p>
      <w:pPr>
        <w:spacing w:after="0" w:line="194"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 shares of our common stock and warrants to acquire 54,064 shares of our common stock in connection with the merger we completed in October 2018, each as adjusted to reflect the reverse stock split that we effected in January 2023.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4" w:orient="portrait"/>
          <w:cols w:equalWidth="0" w:num="1">
            <w:col w:w="10640"/>
          </w:cols>
          <w:pgMar w:left="620" w:top="1440" w:right="634" w:bottom="115" w:gutter="0" w:footer="0" w:header="0"/>
          <w:type w:val="continuous"/>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the first Phase 3 clinical trial for a first and second distinct product, receipt of approval from the FDA and the achievement of certain net sales goals. We are also responsible for sublicensing fees. In addition, under the BCM License Agreement, 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3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addition, upon a liquidity event (as defined in the BCM License Agreement) of the Company, BCM will receive a liquidity incentive payment of 0.5% of the liquidity event proceeds (as defined in the BCM License Agreement).</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pacing w:after="0" w:line="142"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Unless terminated sooner, the license will expire on a licensed product-by-product basis and country-by-country basis, on the later of (1) the date of expiration of the last valid claim of patent rights to expire that covers the sale of such licensed product in such country, or (2) 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spacing w:after="0" w:line="14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4" w:orient="portrait"/>
          <w:cols w:equalWidth="0" w:num="1">
            <w:col w:w="10640"/>
          </w:cols>
          <w:pgMar w:left="620" w:top="1440" w:right="634" w:bottom="115"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Cancer Prevention and Research Institute of Texas</w:t>
      </w:r>
    </w:p>
    <w:p>
      <w:pPr>
        <w:spacing w:after="0" w:line="196" w:lineRule="exact"/>
        <w:rPr>
          <w:sz w:val="20"/>
          <w:szCs w:val="20"/>
          <w:color w:val="auto"/>
        </w:rPr>
      </w:pPr>
    </w:p>
    <w:p>
      <w:pPr>
        <w:jc w:val="both"/>
        <w:ind w:firstLine="1"/>
        <w:spacing w:after="0" w:line="305" w:lineRule="auto"/>
        <w:rPr>
          <w:sz w:val="20"/>
          <w:szCs w:val="20"/>
          <w:color w:val="auto"/>
        </w:rPr>
      </w:pPr>
      <w:r>
        <w:rPr>
          <w:rFonts w:ascii="Arial" w:cs="Arial" w:eastAsia="Arial" w:hAnsi="Arial"/>
          <w:sz w:val="14"/>
          <w:szCs w:val="14"/>
          <w:color w:val="auto"/>
        </w:rPr>
        <w:t>In August 2021, we received notice of a Product Development Research award totaling approximately $13.1 million from CPRIT to support our clinical investigation of MT-401 (the “CPRIT AML Grant”). In December 2024, we received notice of an additional $9.5 million grant from CPRIT to support the clinical investigation of MT-601 in patients with pancreatic cancer (the “CPRIT Pancreatic Grant”). Both CPRIT grants contain identical terms surrounding intellectual property and revenue sharing.</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Per the CPRIT grant agreements, we will retain ownership over any intellectual property developed under the contracts (the “Project Results”). With respect to non-commercial use of any Project Results, we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spacing w:after="0" w:line="141"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If our products become commercially saleable, we are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us by CPRIT under the grant agreements. If we are required to obtain a license from a third party to sell any such product, the revenue sharing percentages may be reduced. In addition, once we have paid CPRIT 400% of the monies received under the grant agreements, we will continue to pay CPRIT a revenue-sharing percentage of 0.5% for the remainder of the Revenue Term as specified in the grant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for example, the rights obtained under exclusive license arrangements such as those pursuant to our BCM License Agreement.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To achieve this objective, a strategic focus for us has been identifying and licensing key patents and patent applications that serve to enhance our intellectual property and technology position. Currently, all of our MAR-T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patent portfolio, together with our efforts to develop and patent next-generation technologies, provides us with a substantial intellectual property position.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However, the area of patent and other intellectual property rights in biotechnology is an evolving one with many risks and uncertainties.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Patents</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4" w:orient="portrait"/>
          <w:cols w:equalWidth="0" w:num="1">
            <w:col w:w="10640"/>
          </w:cols>
          <w:pgMar w:left="620" w:top="1440" w:right="634" w:bottom="115"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value of each patent at the time maintenance fees are due, and in cases where maintaining the patent is judged to be of no significant strategic value, we decline to pay the maintenance fee.</w:t>
      </w:r>
    </w:p>
    <w:p>
      <w:pPr>
        <w:spacing w:after="0" w:line="119"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There can be no assurance that our patents, and any patents that may be issued, assigned, or licensed to us in the future, will afford protection against competitors with similar technology. In addition, no assurances can be given that any patents issued, assigned, or licensed to us will not be infringed upon or designed around by others or that others will not obtain patents that we would need to license or design around. If existing or future patents held by third parties and containing broad claims over technology used by us were upheld by a court or other authority of competent jurisdiction, the holders of such patents could require us to obtain licenses to use such technology.</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Patent coverage may also vary from country to country based on the scope of available patent protection. Moreover, in the United States, patent term may be adjusted to account for delays by the United States Patent and Trademark Office, or USPTO, during prosecution. There are also opportunities to obtain an extension of term for patents covering a product in certain jurisdictions, which adds further complexity to the determination of patent life.</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for example: (1) later-expiring patents on processes and intermediates related to improved methods of manufacture of the active ingredient of such product; (2) patents relating to the use of such product; (3) patents relating to novel compositions and formulations; and (4) in the United States and certain 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patent applications we own, will acquire, license, or will license will issue as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discoveries/inventions in the scientific or patent literature often lags behind actual discovery/invention, we cannot be certain of the priority of inventions covered by pending patent applications and whether potentially relevant earlier patent filings exist. Moreover, we may have to participate in opposition proceedings in a foreign patent office, or for United States patent applications filed before March 16, 2013, in interference proceedings declared by the USPTO, to determine priority of invention, or in United States inter partes review or post-grant review procedures, any of which could result in substantial cost to us, even if the eventual outcome is favorable to us. There can be no assurance that the patents, if issued, would be held valid by a court or other authority of competent jurisdiction. An adverse outcome could subject us to significant liabilities to third parties, require disputed rights to be licensed from third parties, or require us to cease using such technology.</w:t>
      </w:r>
    </w:p>
    <w:p>
      <w:pPr>
        <w:spacing w:after="0" w:line="13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differences in patent laws and laws concerning proprietary rights, the extent of protection provided by U.S. patents or proprietary rights owned by us may differ from that of their foreign counterparts.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Trade Secrets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4" w:orient="portrait"/>
          <w:cols w:equalWidth="0" w:num="1">
            <w:col w:w="10640"/>
          </w:cols>
          <w:pgMar w:left="620" w:top="1440" w:right="634" w:bottom="115"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Trademarks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2024, the USPTO has accepted the Statement of Use filed for the trademark application “Marker Therapeutics.”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process required by the FDA before biologic product candidates may be marketed in the United States generally involves the following:</w:t>
      </w:r>
    </w:p>
    <w:p>
      <w:pPr>
        <w:spacing w:after="0" w:line="194" w:lineRule="exact"/>
        <w:rPr>
          <w:sz w:val="20"/>
          <w:szCs w:val="20"/>
          <w:color w:val="auto"/>
        </w:rPr>
      </w:pPr>
    </w:p>
    <w:p>
      <w:pPr>
        <w:ind w:left="580" w:hanging="275"/>
        <w:spacing w:after="0"/>
        <w:tabs>
          <w:tab w:leader="none" w:pos="5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completion of preclinical laboratory tests and animal studies performed in accordance with the FDA’s current Good Laboratory Practices, or GLP, regulation;</w:t>
      </w:r>
    </w:p>
    <w:p>
      <w:pPr>
        <w:spacing w:after="0" w:line="205" w:lineRule="exact"/>
        <w:rPr>
          <w:rFonts w:ascii="Arial" w:cs="Arial" w:eastAsia="Arial" w:hAnsi="Arial"/>
          <w:sz w:val="14"/>
          <w:szCs w:val="14"/>
          <w:color w:val="auto"/>
        </w:rPr>
      </w:pPr>
    </w:p>
    <w:p>
      <w:pPr>
        <w:ind w:left="580" w:hanging="275"/>
        <w:spacing w:after="0" w:line="299"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submission to the FDA of an IND, which must become effective before clinical trials may begin and must be updated annually or when significant changes are made;</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approval by an independent Institutional Review Board, or IRB, or ethics committee at each clinical site before the trial may commence;</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to establish the safety, purity and potency of the proposed biologic product candidate for its intended purpose;</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preparation of and submission to the FDA of a biologics license application, or BLA, after completion of all pivotal clinical trials;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determination by the FDA within 60 days of its receipt of a BLA to file the application for review;</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satisfactory completion of an FDA Advisory Committee review, if applicable;</w:t>
      </w:r>
    </w:p>
    <w:p>
      <w:pPr>
        <w:spacing w:after="0" w:line="193" w:lineRule="exact"/>
        <w:rPr>
          <w:rFonts w:ascii="Arial" w:cs="Arial" w:eastAsia="Arial" w:hAnsi="Arial"/>
          <w:sz w:val="15"/>
          <w:szCs w:val="15"/>
          <w:color w:val="auto"/>
        </w:rPr>
      </w:pPr>
    </w:p>
    <w:p>
      <w:pPr>
        <w:jc w:val="both"/>
        <w:ind w:left="580" w:hanging="275"/>
        <w:spacing w:after="0" w:line="276"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4" w:orient="portrait"/>
          <w:cols w:equalWidth="0" w:num="1">
            <w:col w:w="10640"/>
          </w:cols>
          <w:pgMar w:left="620" w:top="1440" w:right="634" w:bottom="115"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0" w:hanging="275"/>
        <w:spacing w:after="0"/>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FDA review and approval of the BLA to permit commercial marketing of the product for particular indications for use in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Preclinical and Clinical Development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BLA approval, human clinical trials are typically conducted in three sequential phases that may overlap.</w:t>
      </w:r>
    </w:p>
    <w:p>
      <w:pPr>
        <w:spacing w:after="0" w:line="194" w:lineRule="exact"/>
        <w:rPr>
          <w:sz w:val="20"/>
          <w:szCs w:val="20"/>
          <w:color w:val="auto"/>
        </w:rPr>
      </w:pPr>
    </w:p>
    <w:p>
      <w:pPr>
        <w:jc w:val="both"/>
        <w:ind w:left="580" w:hanging="276"/>
        <w:spacing w:after="0" w:line="276" w:lineRule="auto"/>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36" w:lineRule="exact"/>
        <w:rPr>
          <w:rFonts w:ascii="Arial" w:cs="Arial" w:eastAsia="Arial" w:hAnsi="Arial"/>
          <w:sz w:val="15"/>
          <w:szCs w:val="15"/>
          <w:color w:val="auto"/>
        </w:rPr>
      </w:pPr>
    </w:p>
    <w:p>
      <w:pPr>
        <w:jc w:val="both"/>
        <w:ind w:left="580" w:hanging="275"/>
        <w:spacing w:after="0" w:line="276" w:lineRule="auto"/>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36" w:lineRule="exact"/>
        <w:rPr>
          <w:rFonts w:ascii="Arial" w:cs="Arial" w:eastAsia="Arial" w:hAnsi="Arial"/>
          <w:sz w:val="15"/>
          <w:szCs w:val="15"/>
          <w:color w:val="auto"/>
        </w:rPr>
      </w:pPr>
    </w:p>
    <w:p>
      <w:pPr>
        <w:jc w:val="both"/>
        <w:ind w:left="580" w:hanging="276"/>
        <w:spacing w:after="0" w:line="276" w:lineRule="auto"/>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37" w:lineRule="exact"/>
        <w:rPr>
          <w:sz w:val="20"/>
          <w:szCs w:val="20"/>
          <w:color w:val="auto"/>
        </w:rPr>
      </w:pPr>
    </w:p>
    <w:p>
      <w:pPr>
        <w:jc w:val="both"/>
        <w:ind w:firstLine="1"/>
        <w:spacing w:after="0" w:line="261" w:lineRule="auto"/>
        <w:rPr>
          <w:sz w:val="20"/>
          <w:szCs w:val="20"/>
          <w:color w:val="auto"/>
        </w:rPr>
      </w:pPr>
      <w:r>
        <w:rPr>
          <w:rFonts w:ascii="Arial" w:cs="Arial" w:eastAsia="Arial" w:hAnsi="Arial"/>
          <w:sz w:val="15"/>
          <w:szCs w:val="15"/>
          <w:color w:val="auto"/>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4" w:orient="portrait"/>
          <w:cols w:equalWidth="0" w:num="1">
            <w:col w:w="10640"/>
          </w:cols>
          <w:pgMar w:left="620" w:top="1440" w:right="634" w:bottom="115"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BLA Submission and Review</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4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3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35" w:lineRule="exact"/>
        <w:rPr>
          <w:sz w:val="20"/>
          <w:szCs w:val="20"/>
          <w:color w:val="auto"/>
        </w:rPr>
      </w:pPr>
    </w:p>
    <w:p>
      <w:pPr>
        <w:jc w:val="both"/>
        <w:ind w:firstLine="1"/>
        <w:spacing w:after="0" w:line="306" w:lineRule="auto"/>
        <w:rPr>
          <w:sz w:val="20"/>
          <w:szCs w:val="20"/>
          <w:color w:val="auto"/>
        </w:rPr>
      </w:pPr>
      <w:r>
        <w:rPr>
          <w:rFonts w:ascii="Arial" w:cs="Arial" w:eastAsia="Arial" w:hAnsi="Arial"/>
          <w:sz w:val="13"/>
          <w:szCs w:val="13"/>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4" w:orient="portrait"/>
          <w:cols w:equalWidth="0" w:num="1">
            <w:col w:w="10640"/>
          </w:cols>
          <w:pgMar w:left="620" w:top="1440" w:right="634" w:bottom="115"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Expedited Development and Review Programs</w:t>
      </w:r>
    </w:p>
    <w:p>
      <w:pPr>
        <w:spacing w:after="0" w:line="192" w:lineRule="exact"/>
        <w:rPr>
          <w:sz w:val="20"/>
          <w:szCs w:val="20"/>
          <w:color w:val="auto"/>
        </w:rPr>
      </w:pPr>
    </w:p>
    <w:p>
      <w:pPr>
        <w:jc w:val="both"/>
        <w:ind w:firstLine="1"/>
        <w:spacing w:after="0" w:line="260" w:lineRule="auto"/>
        <w:rPr>
          <w:sz w:val="20"/>
          <w:szCs w:val="20"/>
          <w:color w:val="auto"/>
        </w:rPr>
      </w:pPr>
      <w:r>
        <w:rPr>
          <w:rFonts w:ascii="Arial" w:cs="Arial" w:eastAsia="Arial" w:hAnsi="Arial"/>
          <w:sz w:val="15"/>
          <w:szCs w:val="15"/>
          <w:color w:val="auto"/>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spacing w:after="0" w:line="146"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46" w:lineRule="exact"/>
        <w:rPr>
          <w:sz w:val="20"/>
          <w:szCs w:val="20"/>
          <w:color w:val="auto"/>
        </w:rPr>
      </w:pPr>
    </w:p>
    <w:p>
      <w:pPr>
        <w:jc w:val="both"/>
        <w:ind w:firstLine="1"/>
        <w:spacing w:after="0" w:line="261" w:lineRule="auto"/>
        <w:rPr>
          <w:sz w:val="20"/>
          <w:szCs w:val="20"/>
          <w:color w:val="auto"/>
        </w:rPr>
      </w:pPr>
      <w:r>
        <w:rPr>
          <w:rFonts w:ascii="Arial" w:cs="Arial" w:eastAsia="Arial" w:hAnsi="Arial"/>
          <w:sz w:val="15"/>
          <w:szCs w:val="15"/>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spacing w:after="0" w:line="14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Fast track designation, breakthrough therapy designation, priority review, accelerated approval, and RMAT designation do not change the standards for approval but may expedite the development or approval process.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4" w:orient="portrait"/>
          <w:cols w:equalWidth="0" w:num="1">
            <w:col w:w="10640"/>
          </w:cols>
          <w:pgMar w:left="620" w:top="1440" w:right="634" w:bottom="115"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Orphan Drug Designation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32"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Post-Approval Requirements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26" w:lineRule="exact"/>
        <w:rPr>
          <w:sz w:val="20"/>
          <w:szCs w:val="20"/>
          <w:color w:val="auto"/>
        </w:rPr>
      </w:pPr>
    </w:p>
    <w:p>
      <w:pPr>
        <w:ind w:left="580" w:hanging="275"/>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a product, complete withdrawal of the product from the market or product recalls;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fines, warning letters or holds on post-approval clinical studies;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refusal of the FDA to approve pending applications or supplements to approved applications, or suspension or revocation of existing product approvals;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product seizure or detention, or refusal of the FDA to permit the import or export of products; or</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4" w:orient="portrait"/>
          <w:cols w:equalWidth="0" w:num="1">
            <w:col w:w="10640"/>
          </w:cols>
          <w:pgMar w:left="620" w:top="1440" w:right="634" w:bottom="115"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0" w:hanging="275"/>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Biosimilars and Reference Product Exclusivity</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spacing w:after="0" w:line="137" w:lineRule="exact"/>
        <w:rPr>
          <w:sz w:val="20"/>
          <w:szCs w:val="20"/>
          <w:color w:val="auto"/>
        </w:rPr>
      </w:pPr>
    </w:p>
    <w:p>
      <w:pPr>
        <w:jc w:val="both"/>
        <w:ind w:firstLine="1"/>
        <w:spacing w:after="0" w:line="261" w:lineRule="auto"/>
        <w:rPr>
          <w:sz w:val="20"/>
          <w:szCs w:val="20"/>
          <w:color w:val="auto"/>
        </w:rPr>
      </w:pPr>
      <w:r>
        <w:rPr>
          <w:rFonts w:ascii="Arial" w:cs="Arial" w:eastAsia="Arial" w:hAnsi="Arial"/>
          <w:sz w:val="15"/>
          <w:szCs w:val="15"/>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Healthcare Laws and Compliance Requirements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the Health Insurance Portability and Accountability Act, or HIPAA, which created additional federal criminal statutes which prohibit, among other things, executing a scheme to defraud any healthcare benefit program and making false statements relating to healthcare matters, and which, as amended by Health Information Technology for Economic and Clinical Health Act, or HITECH, also imposes certain</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4" w:orient="portrait"/>
          <w:cols w:equalWidth="0" w:num="1">
            <w:col w:w="10640"/>
          </w:cols>
          <w:pgMar w:left="620" w:top="1440" w:right="634" w:bottom="115"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requirements on HIPAA covered entities and their business associates and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the Physician Payments Sunshine Act), other covered physicians and teaching hospitals, as well as ownership and investment interests held by health care professionals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Coverage and Reimbursement</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the company receives regulatory approval, less favorable coverage policies and reimbursement rates may be implemented in the future.</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Healthcare Reform</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4" w:orient="portrait"/>
          <w:cols w:equalWidth="0" w:num="1">
            <w:col w:w="10640"/>
          </w:cols>
          <w:pgMar w:left="620" w:top="1440" w:right="634" w:bottom="115"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have been executive, judicial and Congressional challenges to certain aspects of the ACA.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other such litigation, and the healthcare reform measures of the Biden administration will impact the ACA and our business.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Other legislative changes have been proposed and adopted since the ACA was enacted, including aggregate reductions of Medicare payments to providers of 2%, which due to subsequent legislative amendments, including the Infrastructure Investment and Jobs Act, will stay in effect per fiscal year through 2031, except for a temporary suspension from May 1, 2020 through March 32, 2021 due to COVID-19 relief legislation, unless additional Congressional action is taken, and reduced payments to several types of Medicare providers.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other reform initiatives.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4" w:orient="portrait"/>
          <w:cols w:equalWidth="0" w:num="1">
            <w:col w:w="10640"/>
          </w:cols>
          <w:pgMar w:left="620" w:top="1440" w:right="634" w:bottom="115"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Product Liability and Insurance</w:t>
      </w:r>
    </w:p>
    <w:p>
      <w:pPr>
        <w:spacing w:after="0" w:line="196"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Resources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2025, we had 5 full-time employees: 1 clinical and 4 in administrative support. None of our employees is subject to a collective bargaining agreement.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We consider our relationship with our employees to be good.</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Consultants</w:t>
      </w:r>
    </w:p>
    <w:p>
      <w:pPr>
        <w:spacing w:after="0" w:line="192"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Human Capital Resources</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100% of our executive officers are women or self-identify as a member of an underrepresented minority group.</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were incorporated under the laws of the State of Nevada in 1991 under the name “TapImmune, Inc.” and reincorporated in Delaware in October 2018 under the name “Marker Therapeutics, Inc.” Our principal executive offices are located at 2450 Holcombe Blvd, TMC Partners Office 1.311, Houston, Texas, and our telephone number is (713) 400-6400. Our common stock is listed for trading on the Nasdaq Capital Market under the symbol “MRKR”.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 xml:space="preserve">Our website is located at </w:t>
      </w:r>
      <w:r>
        <w:rPr>
          <w:rFonts w:ascii="Arial" w:cs="Arial" w:eastAsia="Arial" w:hAnsi="Arial"/>
          <w:sz w:val="13"/>
          <w:szCs w:val="13"/>
          <w:i w:val="1"/>
          <w:iCs w:val="1"/>
          <w:color w:val="auto"/>
        </w:rPr>
        <w:t>www.markertherapeutics.com</w:t>
      </w:r>
      <w:r>
        <w:rPr>
          <w:rFonts w:ascii="Arial" w:cs="Arial" w:eastAsia="Arial" w:hAnsi="Arial"/>
          <w:sz w:val="13"/>
          <w:szCs w:val="13"/>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4" w:orient="portrait"/>
          <w:cols w:equalWidth="0" w:num="1">
            <w:col w:w="10640"/>
          </w:cols>
          <w:pgMar w:left="620" w:top="1440" w:right="634" w:bottom="115"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99" w:lineRule="exact"/>
        <w:rPr>
          <w:sz w:val="20"/>
          <w:szCs w:val="20"/>
          <w:color w:val="auto"/>
        </w:rPr>
      </w:pPr>
    </w:p>
    <w:p>
      <w:pPr>
        <w:jc w:val="both"/>
        <w:ind w:firstLine="1"/>
        <w:spacing w:after="0" w:line="262" w:lineRule="auto"/>
        <w:rPr>
          <w:sz w:val="20"/>
          <w:szCs w:val="20"/>
          <w:color w:val="auto"/>
        </w:rPr>
      </w:pPr>
      <w:r>
        <w:rPr>
          <w:rFonts w:ascii="Arial" w:cs="Arial" w:eastAsia="Arial" w:hAnsi="Arial"/>
          <w:sz w:val="15"/>
          <w:szCs w:val="15"/>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Associated with Our Business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business is subject to numerous risks that you should be aware of before making an investment decision. These risks are described more fully in this “Risk Factors” section and include, among others:</w:t>
      </w:r>
    </w:p>
    <w:p>
      <w:pPr>
        <w:spacing w:after="0" w:line="119" w:lineRule="exact"/>
        <w:rPr>
          <w:sz w:val="20"/>
          <w:szCs w:val="20"/>
          <w:color w:val="auto"/>
        </w:rPr>
      </w:pPr>
    </w:p>
    <w:p>
      <w:pPr>
        <w:ind w:left="580" w:hanging="275"/>
        <w:spacing w:after="0" w:line="299"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a clinical stage company with a history of operating losses, and we expect losses to continue for the indefinite future. These factors raise substantial doubt regarding our ability to continue as a going concern.</w:t>
      </w:r>
    </w:p>
    <w:p>
      <w:pPr>
        <w:spacing w:after="0" w:line="119" w:lineRule="exact"/>
        <w:rPr>
          <w:rFonts w:ascii="Arial" w:cs="Arial" w:eastAsia="Arial" w:hAnsi="Arial"/>
          <w:sz w:val="15"/>
          <w:szCs w:val="15"/>
          <w:color w:val="auto"/>
        </w:rPr>
      </w:pPr>
    </w:p>
    <w:p>
      <w:pPr>
        <w:ind w:left="580" w:hanging="275"/>
        <w:spacing w:after="0" w:line="337"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96" w:lineRule="exact"/>
        <w:rPr>
          <w:rFonts w:ascii="Arial" w:cs="Arial" w:eastAsia="Arial" w:hAnsi="Arial"/>
          <w:sz w:val="14"/>
          <w:szCs w:val="14"/>
          <w:color w:val="auto"/>
        </w:rPr>
      </w:pPr>
    </w:p>
    <w:p>
      <w:pPr>
        <w:ind w:left="580" w:hanging="275"/>
        <w:spacing w:after="0" w:line="299"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FDA regulatory approval process is lengthy and time-consuming, and we may experience significant delays in the clinical development and regulatory approval of our product candidates.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results of earlier preclinical and clinical trials may not be predictive of future clinical trial results.</w:t>
      </w:r>
    </w:p>
    <w:p>
      <w:pPr>
        <w:spacing w:after="0" w:line="193" w:lineRule="exact"/>
        <w:rPr>
          <w:rFonts w:ascii="Arial" w:cs="Arial" w:eastAsia="Arial" w:hAnsi="Arial"/>
          <w:sz w:val="15"/>
          <w:szCs w:val="15"/>
          <w:color w:val="auto"/>
        </w:rPr>
      </w:pPr>
    </w:p>
    <w:p>
      <w:pPr>
        <w:jc w:val="both"/>
        <w:ind w:left="580" w:hanging="275"/>
        <w:spacing w:after="0" w:line="276"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36"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dependent on third-party vendors to maintain and support our manufacturing and cell processing. If any of our third-party vendors experience disruptions, or otherwise cease or substantially reduce their operations, our business and operations could be adversely affected.</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strategic relationship with BCM is dependent, in part, upon our ongoing relationship with key medical and scientific personnel and advisors.</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commercial success depends upon attaining significant market acceptance of our product candidates, if approved, among physicians, patients, healthcare payors and the medical community.</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biotechnology and immunotherapy industries are characterized by rapid technological developments and a high degree of competition. We may be unable to compete with more substantial enterprises.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If we are unable to protect our proprietary rights, we may not be able to compete effectively or operate profitably.</w:t>
      </w:r>
    </w:p>
    <w:p>
      <w:pPr>
        <w:spacing w:after="0" w:line="193" w:lineRule="exact"/>
        <w:rPr>
          <w:rFonts w:ascii="Arial" w:cs="Arial" w:eastAsia="Arial" w:hAnsi="Arial"/>
          <w:sz w:val="15"/>
          <w:szCs w:val="15"/>
          <w:color w:val="auto"/>
        </w:rPr>
      </w:pPr>
    </w:p>
    <w:p>
      <w:pPr>
        <w:jc w:val="both"/>
        <w:ind w:left="580" w:hanging="275"/>
        <w:spacing w:after="0" w:line="337" w:lineRule="auto"/>
        <w:tabs>
          <w:tab w:leader="none" w:pos="5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We are subject to extensive regulations,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2" w:lineRule="exact"/>
        <w:rPr>
          <w:rFonts w:ascii="Arial" w:cs="Arial" w:eastAsia="Arial" w:hAnsi="Arial"/>
          <w:sz w:val="13"/>
          <w:szCs w:val="13"/>
          <w:color w:val="auto"/>
        </w:rPr>
      </w:pPr>
    </w:p>
    <w:p>
      <w:pPr>
        <w:ind w:left="580" w:hanging="275"/>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price of our stock may be volatile.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4" w:orient="portrait"/>
          <w:cols w:equalWidth="0" w:num="1">
            <w:col w:w="10640"/>
          </w:cols>
          <w:pgMar w:left="620" w:top="1440" w:right="634" w:bottom="115"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Financial Position and Capital Needs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We are a clinical stage company with a history of operating losses, and we expect losses to continue for the indefinite future. These factors raise substantial doubt regarding our ability to continue as a going concern.</w:t>
      </w:r>
    </w:p>
    <w:p>
      <w:pPr>
        <w:spacing w:after="0" w:line="121" w:lineRule="exact"/>
        <w:rPr>
          <w:sz w:val="20"/>
          <w:szCs w:val="20"/>
          <w:color w:val="auto"/>
        </w:rPr>
      </w:pPr>
    </w:p>
    <w:p>
      <w:pPr>
        <w:jc w:val="both"/>
        <w:ind w:firstLine="1"/>
        <w:spacing w:after="0" w:line="305" w:lineRule="auto"/>
        <w:rPr>
          <w:sz w:val="20"/>
          <w:szCs w:val="20"/>
          <w:color w:val="auto"/>
        </w:rPr>
      </w:pPr>
      <w:r>
        <w:rPr>
          <w:rFonts w:ascii="Arial" w:cs="Arial" w:eastAsia="Arial" w:hAnsi="Arial"/>
          <w:sz w:val="14"/>
          <w:szCs w:val="14"/>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Weaknesses and volatility in the capital markets and the economy in general could also increase our costs of borrowing. Such additional financing may not be available on favorable terms, or at all.</w:t>
      </w:r>
    </w:p>
    <w:p>
      <w:pPr>
        <w:spacing w:after="0" w:line="14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We have sustained losses from operations in each fiscal year since our inception, and we expect losses to continue for the indefinite future due to the substantial investment in research and development. Based on our lack of recurring revenues, anticipated uses of cash and historical recurring cash losses from operating activity, and cash and cash equivalents as of December 31, 2025, we anticipate that we will be able to fund our operating expenses and capital expenditure requirements through the fourth quarter of 2026, assuming no additional grant funds are received. These factors raise substantial doubt regarding our ability to continue as a going concern.</w:t>
      </w:r>
    </w:p>
    <w:p>
      <w:pPr>
        <w:spacing w:after="0" w:line="12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currently plan to raise additional capital through the issuance of common shares and receipt of additional grant funds, which could enable us to fund our operating expenses and capital expenditure requirements beyond the fourth quarter of 2026, although no assurance can be given that such capital or existing awarded grants will be earned or future grants will be awarded. Our future cash requirements are based on our clinical and research and development plans, timing expectations related to the progress of our programs, and are subject to our ability to effectively manage our costs, raise additional capital, and receive additional grants.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The substantial doubt regarding our ability to continue as a going concern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Development of our Product Candidates</w:t>
      </w:r>
    </w:p>
    <w:p>
      <w:pPr>
        <w:spacing w:after="0" w:line="197" w:lineRule="exact"/>
        <w:rPr>
          <w:sz w:val="20"/>
          <w:szCs w:val="20"/>
          <w:color w:val="auto"/>
        </w:rPr>
      </w:pPr>
    </w:p>
    <w:p>
      <w:pPr>
        <w:jc w:val="both"/>
        <w:spacing w:after="0" w:line="335" w:lineRule="auto"/>
        <w:rPr>
          <w:sz w:val="20"/>
          <w:szCs w:val="20"/>
          <w:color w:val="auto"/>
        </w:rPr>
      </w:pPr>
      <w:r>
        <w:rPr>
          <w:rFonts w:ascii="Arial" w:cs="Arial" w:eastAsia="Arial" w:hAnsi="Arial"/>
          <w:sz w:val="14"/>
          <w:szCs w:val="14"/>
          <w:b w:val="1"/>
          <w:bCs w:val="1"/>
          <w:i w:val="1"/>
          <w:iCs w:val="1"/>
          <w:color w:val="auto"/>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spacing w:after="0" w:line="98"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We are early in our development efforts and all of our product candidates are still in clinical development. Each of our programs and product candidates will require additional preclinical and/or clinical development, regulatory approval, obtaining manufacturing supply,</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4" w:orient="portrait"/>
          <w:cols w:equalWidth="0" w:num="1">
            <w:col w:w="10640"/>
          </w:cols>
          <w:pgMar w:left="620" w:top="1440" w:right="634" w:bottom="115"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our MAR-T cell product candidates or any other product candidates that we develop or otherwise may acquire will depend on several factors, including:</w:t>
      </w:r>
    </w:p>
    <w:p>
      <w:pPr>
        <w:spacing w:after="0" w:line="137" w:lineRule="exact"/>
        <w:rPr>
          <w:sz w:val="20"/>
          <w:szCs w:val="20"/>
          <w:color w:val="auto"/>
        </w:rPr>
      </w:pPr>
    </w:p>
    <w:p>
      <w:pPr>
        <w:ind w:left="580" w:hanging="276"/>
        <w:spacing w:after="0" w:line="299" w:lineRule="auto"/>
        <w:tabs>
          <w:tab w:leader="none" w:pos="579" w:val="left"/>
        </w:tabs>
        <w:numPr>
          <w:ilvl w:val="0"/>
          <w:numId w:val="30"/>
        </w:numPr>
        <w:rPr>
          <w:rFonts w:ascii="Arial" w:cs="Arial" w:eastAsia="Arial" w:hAnsi="Arial"/>
          <w:sz w:val="15"/>
          <w:szCs w:val="15"/>
          <w:color w:val="auto"/>
        </w:rPr>
      </w:pPr>
      <w:r>
        <w:rPr>
          <w:rFonts w:ascii="Arial" w:cs="Arial" w:eastAsia="Arial" w:hAnsi="Arial"/>
          <w:sz w:val="15"/>
          <w:szCs w:val="15"/>
          <w:color w:val="auto"/>
        </w:rPr>
        <w:t>timely and successful completion of preclinical studies, including toxicology studies, biodistribution studies and minimally efficacious dose studies in animals, where applicable, and clinical trials;</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effective investigational new drug applications, or INDs, from the FDA or comparable foreign applications that allow commencement of our planned clinical trials or future clinical trials for our product candidates;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sufficiency of our financial and other resources to complete the necessary preclinical studies and clinical trials;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successful enrollment and completion of clinical trials, including under the FDA’s current Good Clinical Practices, or GCPs, and current Good Laboratory Practices;</w:t>
      </w:r>
    </w:p>
    <w:p>
      <w:pPr>
        <w:spacing w:after="0" w:line="216" w:lineRule="exact"/>
        <w:rPr>
          <w:rFonts w:ascii="Arial" w:cs="Arial" w:eastAsia="Arial" w:hAnsi="Arial"/>
          <w:sz w:val="13"/>
          <w:szCs w:val="13"/>
          <w:color w:val="auto"/>
        </w:rPr>
      </w:pPr>
    </w:p>
    <w:p>
      <w:pPr>
        <w:ind w:left="580" w:hanging="275"/>
        <w:spacing w:after="0" w:line="299"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successful development of, or making arrangements with third-party manufacturers for, our commercial manufacturing processes for any of our product candidates that receive regulatory approval;</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receipt of timely marketing approvals from applicable regulatory authorities;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launching commercial sales of products, if approved, whether alone or in collaboration with others;</w:t>
      </w:r>
    </w:p>
    <w:p>
      <w:pPr>
        <w:spacing w:after="0" w:line="193" w:lineRule="exact"/>
        <w:rPr>
          <w:rFonts w:ascii="Arial" w:cs="Arial" w:eastAsia="Arial" w:hAnsi="Arial"/>
          <w:sz w:val="15"/>
          <w:szCs w:val="15"/>
          <w:color w:val="auto"/>
        </w:rPr>
      </w:pPr>
    </w:p>
    <w:p>
      <w:pPr>
        <w:ind w:left="580" w:hanging="275"/>
        <w:spacing w:after="0" w:line="299" w:lineRule="auto"/>
        <w:tabs>
          <w:tab w:leader="none" w:pos="581" w:val="left"/>
        </w:tabs>
        <w:numPr>
          <w:ilvl w:val="0"/>
          <w:numId w:val="30"/>
        </w:numPr>
        <w:rPr>
          <w:rFonts w:ascii="Arial" w:cs="Arial" w:eastAsia="Arial" w:hAnsi="Arial"/>
          <w:sz w:val="15"/>
          <w:szCs w:val="15"/>
          <w:color w:val="auto"/>
        </w:rPr>
      </w:pPr>
      <w:r>
        <w:rPr>
          <w:rFonts w:ascii="Arial" w:cs="Arial" w:eastAsia="Arial" w:hAnsi="Arial"/>
          <w:sz w:val="15"/>
          <w:szCs w:val="15"/>
          <w:color w:val="auto"/>
        </w:rPr>
        <w:t>acceptance of the benefits and use of our products, including method of administration, if approved, by patients, the medical community and third-party payors, for their approved indications;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prevalence and severity of adverse events experienced by our product candidates;</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availability, perceived advantages, cost, safety and efficacy of alternative therapies for any product candidate, and any indications for such product candidate, that we develop;</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ability to produce and manufacture our product candidates, which is dependent on third-party vendors and their willingness to support our manufacturing and cell processing;</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obtaining and maintaining patent, trademark and trade secret protection and regulatory exclusivity for our product candidates and otherwise protecting our rights in our intellectual property portfolio;</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maintaining compliance with regulatory requirements, including the FDA’s current Good Manufacturing Practices, or cGMPs, and complying effectively with other procedures;</w:t>
      </w:r>
    </w:p>
    <w:p>
      <w:pPr>
        <w:spacing w:after="0" w:line="119" w:lineRule="exact"/>
        <w:rPr>
          <w:rFonts w:ascii="Arial" w:cs="Arial" w:eastAsia="Arial" w:hAnsi="Arial"/>
          <w:sz w:val="15"/>
          <w:szCs w:val="15"/>
          <w:color w:val="auto"/>
        </w:rPr>
      </w:pPr>
    </w:p>
    <w:p>
      <w:pPr>
        <w:ind w:left="580" w:hanging="275"/>
        <w:spacing w:after="0" w:line="299" w:lineRule="auto"/>
        <w:tabs>
          <w:tab w:leader="none" w:pos="579" w:val="left"/>
        </w:tabs>
        <w:numPr>
          <w:ilvl w:val="0"/>
          <w:numId w:val="30"/>
        </w:numPr>
        <w:rPr>
          <w:rFonts w:ascii="Arial" w:cs="Arial" w:eastAsia="Arial" w:hAnsi="Arial"/>
          <w:sz w:val="15"/>
          <w:szCs w:val="15"/>
          <w:color w:val="auto"/>
        </w:rPr>
      </w:pPr>
      <w:r>
        <w:rPr>
          <w:rFonts w:ascii="Arial" w:cs="Arial" w:eastAsia="Arial" w:hAnsi="Arial"/>
          <w:sz w:val="15"/>
          <w:szCs w:val="15"/>
          <w:color w:val="auto"/>
        </w:rPr>
        <w:t>obtaining and maintaining third-party coverage and adequate reimbursement and patients’ willingness to pay out-of-pocket in the absence of such coverage and adequate reimbursement; and</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maintaining a continued acceptable safety, tolerability and efficacy profile of the products following approval.</w:t>
      </w:r>
    </w:p>
    <w:p>
      <w:pPr>
        <w:spacing w:after="0" w:line="193"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4" w:orient="portrait"/>
          <w:cols w:equalWidth="0" w:num="1">
            <w:col w:w="10640"/>
          </w:cols>
          <w:pgMar w:left="620" w:top="1440" w:right="634" w:bottom="115" w:gutter="0" w:footer="0" w:header="0"/>
          <w:type w:val="continuous"/>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Any immunotherapies that we may develop are not likely to be commercially available for at least three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We may also experience delays in completing planned clinical trials for a variety of reasons, including delays related to:</w:t>
      </w:r>
    </w:p>
    <w:p>
      <w:pPr>
        <w:spacing w:after="0" w:line="216" w:lineRule="exact"/>
        <w:rPr>
          <w:sz w:val="20"/>
          <w:szCs w:val="20"/>
          <w:color w:val="auto"/>
        </w:rPr>
      </w:pPr>
    </w:p>
    <w:p>
      <w:pPr>
        <w:ind w:left="580" w:hanging="275"/>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availability of financial resources to commence and complete the planned trials;</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reaching agreement on acceptable terms with prospective clinical research organizations, or CROs, and clinical trial sites, the terms of which can be subject to extensive negotiation and may vary significantly among different CROs and trial sites;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obtaining approval by an independent institutional review board, or IRB, at each clinical trial site;</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recruiting suitable patients to participate in a trial;</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having patients complete a trial or return for post-treatment follow-up;</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clinical trial sites deviating from trial protocol or dropping out of a trial;</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adding new clinical trial sites; or</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manufacturing sufficient quantities of qualified materials under cGMPs and applying them on a subject by subject basis for use in clinical trials.</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Further, the performance of our CROs may also be interrupted by health epidemics or other disruptions, including due to travel or quarantine policies or prioritization of resources toward such health epidemic or disruption.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4" w:orient="portrait"/>
          <w:cols w:equalWidth="0" w:num="1">
            <w:col w:w="10640"/>
          </w:cols>
          <w:pgMar w:left="620" w:top="1440" w:right="634" w:bottom="115"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51"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4"/>
          <w:szCs w:val="14"/>
          <w:color w:val="auto"/>
        </w:rPr>
        <w:t>Clinical trials are expensive and difficult to design and implement, in part because they are subject to rigorous regulatory requirements. Because our product candidates are based on new technologies and manufactured on a patient-by-patient basis for our MAR-T cell product candidates we expect that they will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previously experienced temporary delays in enrollment due to the COVID-19 pandemic and in satisfying certain FDA requirements for our clinical study of MT-401 for the treatment of post-transplant AML, and any further delay to our planned timelines for our trial may impact our cost estimates for this trial.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global pandemics, as experienced with COVID-19, can increase the duration and costs of such trials. 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third-party vendors that are used in our manufacturing process but not present in the final product infused to patients. In January 2021, the FDA lifted the clinical hold, permitting us to initiate a Phase 2 clinical trial for the treatment of post-transplant AML, with a safety lead-in portion. We completed the safety lead-in portion of the trial in June 2021, and we initiated the remainder of the Phase 2 trial in July 2021. 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4" w:orient="portrait"/>
          <w:cols w:equalWidth="0" w:num="1">
            <w:col w:w="10640"/>
          </w:cols>
          <w:pgMar w:left="620" w:top="1440" w:right="634" w:bottom="115" w:gutter="0" w:footer="0" w:header="0"/>
          <w:type w:val="continuous"/>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results of earlier preclinical and clinical trials may not be predictive of future clinical trial results.</w:t>
      </w:r>
    </w:p>
    <w:p>
      <w:pPr>
        <w:spacing w:after="0" w:line="192" w:lineRule="exact"/>
        <w:rPr>
          <w:sz w:val="20"/>
          <w:szCs w:val="20"/>
          <w:color w:val="auto"/>
        </w:rPr>
      </w:pPr>
    </w:p>
    <w:p>
      <w:pPr>
        <w:jc w:val="both"/>
        <w:ind w:firstLine="1"/>
        <w:spacing w:after="0" w:line="259" w:lineRule="auto"/>
        <w:rPr>
          <w:sz w:val="20"/>
          <w:szCs w:val="20"/>
          <w:color w:val="auto"/>
        </w:rPr>
      </w:pPr>
      <w:r>
        <w:rPr>
          <w:rFonts w:ascii="Arial" w:cs="Arial" w:eastAsia="Arial" w:hAnsi="Arial"/>
          <w:sz w:val="15"/>
          <w:szCs w:val="15"/>
          <w:color w:val="auto"/>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achieve our projected development goals in the timeframes we announce and expect, the commercialization of our products may be delayed.</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4" w:orient="portrait"/>
          <w:cols w:equalWidth="0" w:num="1">
            <w:col w:w="10640"/>
          </w:cols>
          <w:pgMar w:left="620" w:top="1440" w:right="634" w:bottom="115"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w:t>
      </w:r>
    </w:p>
    <w:p>
      <w:pPr>
        <w:spacing w:after="0" w:line="137" w:lineRule="exact"/>
        <w:rPr>
          <w:sz w:val="20"/>
          <w:szCs w:val="20"/>
          <w:color w:val="auto"/>
        </w:rPr>
      </w:pPr>
    </w:p>
    <w:p>
      <w:pPr>
        <w:jc w:val="both"/>
        <w:ind w:firstLine="1"/>
        <w:spacing w:after="0" w:line="280" w:lineRule="auto"/>
        <w:rPr>
          <w:sz w:val="20"/>
          <w:szCs w:val="20"/>
          <w:color w:val="auto"/>
        </w:rPr>
      </w:pPr>
      <w:r>
        <w:rPr>
          <w:rFonts w:ascii="Arial" w:cs="Arial" w:eastAsia="Arial" w:hAnsi="Arial"/>
          <w:sz w:val="14"/>
          <w:szCs w:val="14"/>
          <w:color w:val="auto"/>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MAR-T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spacing w:after="0" w:line="13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3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19" w:lineRule="exact"/>
        <w:rPr>
          <w:sz w:val="20"/>
          <w:szCs w:val="20"/>
          <w:color w:val="auto"/>
        </w:rPr>
      </w:pPr>
    </w:p>
    <w:p>
      <w:pPr>
        <w:ind w:left="580" w:hanging="275"/>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labels;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be required to create a medication guide outlining the risks of such side effects for distribution to patients or other requirements subject to a REMS;</w:t>
      </w:r>
    </w:p>
    <w:p>
      <w:pPr>
        <w:spacing w:after="0" w:line="205" w:lineRule="exact"/>
        <w:rPr>
          <w:rFonts w:ascii="Arial" w:cs="Arial" w:eastAsia="Arial" w:hAnsi="Arial"/>
          <w:sz w:val="14"/>
          <w:szCs w:val="14"/>
          <w:color w:val="auto"/>
        </w:rPr>
      </w:pPr>
    </w:p>
    <w:p>
      <w:pPr>
        <w:ind w:left="580" w:hanging="275"/>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may not be able to achieve or maintain third-party payor coverage and adequate reimbursement; and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reputation and physician or patient acceptance of our products may suffer.</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4" w:orient="portrait"/>
          <w:cols w:equalWidth="0" w:num="1">
            <w:col w:w="10640"/>
          </w:cols>
          <w:pgMar w:left="620" w:top="1440" w:right="634" w:bottom="115"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obtain or maintain the benefits associated with orphan drug designation, including market exclusivity.</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33" w:lineRule="exact"/>
        <w:rPr>
          <w:sz w:val="20"/>
          <w:szCs w:val="20"/>
          <w:color w:val="auto"/>
        </w:rPr>
      </w:pPr>
    </w:p>
    <w:p>
      <w:pPr>
        <w:jc w:val="both"/>
        <w:ind w:firstLine="1"/>
        <w:spacing w:after="0" w:line="258" w:lineRule="auto"/>
        <w:rPr>
          <w:sz w:val="20"/>
          <w:szCs w:val="20"/>
          <w:color w:val="auto"/>
        </w:rPr>
      </w:pPr>
      <w:r>
        <w:rPr>
          <w:rFonts w:ascii="Arial" w:cs="Arial" w:eastAsia="Arial" w:hAnsi="Arial"/>
          <w:sz w:val="15"/>
          <w:szCs w:val="15"/>
          <w:color w:val="auto"/>
        </w:rPr>
        <w:t>The FDA has granted orphan drug designation for MT-401 for the treatment of AML after receiving an allogeneic stem cell transplant and for MT-601 for the treatment of patients with pancreatic cancer. In 2023, MT-401 was also granted orphan drug designation by the Committee for Orphan Medicinal Products of the European Medicines Agency (EMA) for the treatment of patients with AML.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Commission (on the basis of the opinion of the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Manufacturing</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third-party vendors and contract manufacturing organizations to maintain and support our manufacturing and cell processing operations.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do not operate our own cGMP manufacturing facility and instead rely on third parties for the clinical and, once approved, commercial manufacture of our product candidates. Our manufacturing process was originally developed at Baylor College of Medicine and we continue to contract with BCM to perform a wide variety of services to ensure the continuation of our research and development efforts, with the goal of optimizing our manufacturing process, product quality and commercial scalability. We continue to order products from BCM and BCM continues to supply us with products.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Under the MSA, Cell Ready previously performed various services for us, including research and development, and manufacturing in support of our clinical trials. However, on March 27, 2025, we mutually agreed with Cell Ready to terminate the MSA. In connection therewith, we entered into a settlement and release agreement with Cell Ready pursuant to which we paid Cell Ready approximately $453,000 and we provided each other with mutual releases of all claims associated with any and all agreements between the Marker and Cell Ready.</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While BCM continues to supply us with products, as we continue our clinical trials, in anticipation of the commencement of our larger pivotal trial for lymphoma in 2026, as well as the eventual need for commercial scale production, on June 16, 2025, the Company entered into a Statement of Work (the “SOW”) with Cellipont Bioservices (“Cellipont”), a leading cell therapy Contract Development and Manufacturing Organization (“CDMO”), for the manufacturing of MT-601, the Company’s lead MAR-T cell product.</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4" w:orient="portrait"/>
          <w:cols w:equalWidth="0" w:num="1">
            <w:col w:w="10640"/>
          </w:cols>
          <w:pgMar w:left="620" w:top="1440" w:right="634" w:bottom="115"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Furthermore, we intend to evaluate additional potential third-party manufacturing capabilities to provide potential multiple sources of clinical and commercial supply. However, even if we can secure multiple sources of clinical and commercial supply, third-party manufacturers may not be willing or able to meet our needs concerning timing, quantity, or quality and/or may cease or substantially reduce their business. If we are unable to contract for a sufficient supply of needed materials on acceptable terms, or if we should encounter delays, difficulties or disputes with regard to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Also, if we enter into additional third-party agreements in the future, we may not be able to negotiate such agreements successfully and, even if established, these relationships may not be scientifically or commercially successful. In the event our relationship with a third-party manufacturer is terminated or substantially reduced for any reason, it is possible we will not be able to identify an alternative third-party manufacturer within a reasonable period of time, if ever, which would have an adverse effect our operations.</w:t>
      </w:r>
    </w:p>
    <w:p>
      <w:pPr>
        <w:spacing w:after="0" w:line="129" w:lineRule="exact"/>
        <w:rPr>
          <w:sz w:val="20"/>
          <w:szCs w:val="20"/>
          <w:color w:val="auto"/>
        </w:rPr>
      </w:pPr>
    </w:p>
    <w:p>
      <w:pPr>
        <w:jc w:val="both"/>
        <w:ind w:firstLine="1"/>
        <w:spacing w:after="0" w:line="278" w:lineRule="auto"/>
        <w:rPr>
          <w:sz w:val="20"/>
          <w:szCs w:val="20"/>
          <w:color w:val="auto"/>
        </w:rPr>
      </w:pPr>
      <w:r>
        <w:rPr>
          <w:rFonts w:ascii="Arial" w:cs="Arial" w:eastAsia="Arial" w:hAnsi="Arial"/>
          <w:sz w:val="14"/>
          <w:szCs w:val="14"/>
          <w:color w:val="auto"/>
        </w:rPr>
        <w:t>Additionally, our manufacturing capabilities could be affected by cost-overruns, unexpected delays, equipment failures, labor shortages, natural disasters, power failures, competition with other clients, transportation difficulties and numerous other factors that could prevent us from fully realizing the intended benefits of our manufacturing strategy and have a material adverse effect on our clinical development, commercialization plans and/or general operations. In addition, the manufacturing process for any product candidates that we may develop is subject to the FDA and foreign regulatory authority approval process, and we may need to contract with manufacturers who can meet all applicable FDA and foreign regulatory authority requirements on an ongoing basis. If our contract manufacturing organizations, or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Further, we may be required to establish multiple manufacturing facilities to expand our commercial footprint for any approved products, which may lead to regulatory delays or prove costly.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42" w:lineRule="exact"/>
        <w:rPr>
          <w:sz w:val="20"/>
          <w:szCs w:val="20"/>
          <w:color w:val="auto"/>
        </w:rPr>
      </w:pPr>
    </w:p>
    <w:p>
      <w:pPr>
        <w:jc w:val="both"/>
        <w:ind w:firstLine="1"/>
        <w:spacing w:after="0" w:line="275" w:lineRule="auto"/>
        <w:rPr>
          <w:sz w:val="20"/>
          <w:szCs w:val="20"/>
          <w:color w:val="auto"/>
        </w:rPr>
      </w:pPr>
      <w:r>
        <w:rPr>
          <w:rFonts w:ascii="Arial" w:cs="Arial" w:eastAsia="Arial" w:hAnsi="Arial"/>
          <w:sz w:val="15"/>
          <w:szCs w:val="15"/>
          <w:b w:val="1"/>
          <w:bCs w:val="1"/>
          <w:i w:val="1"/>
          <w:iCs w:val="1"/>
          <w:color w:val="auto"/>
        </w:rPr>
        <w:t>Our manufacturing process is reliant upon specialized equipment, and other specialty materials, which may not be available to us on acceptable terms or at all. We, our vendors, and contract manufacturing organizations rely or may rely on sole-source vendors or a limited number of vendors, which could impair the manufacture and supply of our product candidates.</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depend on a limited number of vendors for supply of certain materials and equipment used in the manufacture of our MAR-T cell therapy-based product candidates. For example, in the past, we purchased equipment and reagents critical for the manufacture of our product candidates from Wilson Wolf (a company controlled by our former director, John Wilson), Almac and other suppliers. As previously disclosed, Mr. Wilson resigned as one of our directors on January 24, 2025. Some of our direct or indirect suppliers may not have the willingness or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4" w:orient="portrait"/>
          <w:cols w:equalWidth="0" w:num="1">
            <w:col w:w="10640"/>
          </w:cols>
          <w:pgMar w:left="620" w:top="1440" w:right="634" w:bottom="115"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If any of our third-party suppliers encounter such difficulties, the supply of our product candidates for clinical trials, or our product candidates for patients, if approved, could be delayed or stopped, or we may be unable to maintain a commercially viable cost structure.</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product candidates are biologics, and the process of manufacturing our product candidates is complex, highly regulated and subject to multiple risks. For example, the manufacture of our MAR-T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Additionally, transferring manufacturing responsibilities from one manufacturer to another also involves various risks, which could result in delays and additional costs.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Because our autologous MAR-T cell therapy-based product candidates, MT-601, is manufactured for each particular patient, we will be required to maintain a chain of identity with respect to the patient’s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are working to develop commercially viable processes for manufacturing our products.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No assurance can be given that we will be able to develop a new, FDA-compliant, more efficient, lower cost manufacturing process upon which our business plan to commercialize MAR-T cell-based product candidates is dependent.</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cooperation with our current contract manufacturers and suppliers, we developed and have implemented a new nine-day MAR-T cell manufacturing process for our current as well as future clinical trials using a patient-specific manufacturing approach or using products manufactured from healthy donors (“Off-the-Shelf”). The new manufacturing process marks additional manufacturing improvements compared to the processes used in the BCM Phase 1 and 2 trials (36-day manufacturing time) and our previous AML trial (20-day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 This new, scaled-up, pharmaceutical manufacturing process is new and subject to uncertainties. We cannot guarantee that we will be able to more efficiently and cost effectively, and in a more automated manner produce, measure and control the physical and/or chemical attributes of our product candidates in a cGMP facility. We also have never manufactured our adoptive T cell therapy product candidate on a commercial scale. As a result, we cannot give any assurance that we will be able to establish a manufacturing process that can produce our product candidates at a cost or in quantities necessary to make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4" w:orient="portrait"/>
          <w:cols w:equalWidth="0" w:num="1">
            <w:col w:w="10640"/>
          </w:cols>
          <w:pgMar w:left="620" w:top="1440" w:right="634" w:bottom="115"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them commercially viable. Moreover, we and our third-party manufacturers will have to continually adhere to current cGMP regulations enforced by the FDA through its facilities inspection program. If these facilities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or our partners will be able to establish and operate such a production facility.</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Reliance on Third Parties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We rely on third parties for the clinical and, if approved, commercial manufacture of our product candidates. The third-party manufacturing facilities on which we rely may have limited capacity or fail to meet the applicable stringent regulatory requirements.</w:t>
      </w:r>
    </w:p>
    <w:p>
      <w:pPr>
        <w:spacing w:after="0" w:line="121" w:lineRule="exact"/>
        <w:rPr>
          <w:sz w:val="20"/>
          <w:szCs w:val="20"/>
          <w:color w:val="auto"/>
        </w:rPr>
      </w:pPr>
    </w:p>
    <w:p>
      <w:pPr>
        <w:jc w:val="both"/>
        <w:ind w:firstLine="1"/>
        <w:spacing w:after="0" w:line="282" w:lineRule="auto"/>
        <w:rPr>
          <w:sz w:val="20"/>
          <w:szCs w:val="20"/>
          <w:color w:val="auto"/>
        </w:rPr>
      </w:pPr>
      <w:r>
        <w:rPr>
          <w:rFonts w:ascii="Arial" w:cs="Arial" w:eastAsia="Arial" w:hAnsi="Arial"/>
          <w:sz w:val="14"/>
          <w:szCs w:val="14"/>
          <w:color w:val="auto"/>
        </w:rPr>
        <w:t>We do not have any cGMP manufacturing facilities. Following the termination of our MSA with Cell Ready, we rely on BCM for the cGMP manufacture of our product candidates for clinical development. While BCM continues to supply us with products, as we continue our clinical trials, in anticipation of the commencement of our larger pivotal trial for lymphoma in 2026, as well as the eventual need for commercial scale production, on June 16, 2025, the Company entered into a Statement of Work (the “SOW”) with Cellipont Bioservices (“Cellipont”), a leading cell therapy Contract Development and Manufacturing Organization (“CDMO”), for the manufacturing of MT-601, the Company’s lead MAR-T cell product. 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Also, if we must increase production capacity for any reason, we may need to make considerable investments that could lead to significant financing needs or require us to enter into subcontracting agreements in order to outsource part of the production.</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If the third-party contract manufacturing organizations on which we currently or in the future rely ceases or reduces its business or the products it supplies to us or experiences capacity constraints, other disruptions, or delays in manufacturing our MAR-T cell therapy-based product candidates, our planned clinical trials and necessary manufacturing capabilities will be disrupted or delayed. Third-party manufacturers may not be able to meet our needs concerning timing, quantity, or quality. Additionally, our third-party manufacturing partners may engage, be engaged by, or otherwise enter into arrangements with our competitors.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4" w:orient="portrait"/>
          <w:cols w:equalWidth="0" w:num="1">
            <w:col w:w="10640"/>
          </w:cols>
          <w:pgMar w:left="620" w:top="1440" w:right="634" w:bottom="115"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137" w:lineRule="exact"/>
        <w:rPr>
          <w:sz w:val="20"/>
          <w:szCs w:val="20"/>
          <w:color w:val="auto"/>
        </w:rPr>
      </w:pPr>
    </w:p>
    <w:p>
      <w:pPr>
        <w:jc w:val="both"/>
        <w:ind w:firstLine="1"/>
        <w:spacing w:after="0" w:line="305" w:lineRule="auto"/>
        <w:rPr>
          <w:sz w:val="20"/>
          <w:szCs w:val="20"/>
          <w:color w:val="auto"/>
        </w:rPr>
      </w:pPr>
      <w:r>
        <w:rPr>
          <w:rFonts w:ascii="Arial" w:cs="Arial" w:eastAsia="Arial" w:hAnsi="Arial"/>
          <w:sz w:val="14"/>
          <w:szCs w:val="14"/>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strategic relationship with BCM is dependent, in part, upon our ongoing relationship with key medical and scientific personnel and advisors.</w:t>
      </w:r>
    </w:p>
    <w:p>
      <w:pPr>
        <w:spacing w:after="0" w:line="192"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Our MAR-T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President and Chief Executive Officer and Principal Financial and Accounting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spacing w:after="0" w:line="14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Although we have an exclusive license agreement with BCM under which we received a worldwide, exclusive license to BCM’s rights in and to three patent families to develop and commercialize the MAR-T cell product candidates, we will need to enter into additional agreements with BCM with respect to (i) a strategic alliance to advance preclinical research, early stage clinical trials, and clinical trials with respect to our product candidates, as well as continued access to our clinical data, and (ii)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45"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An important element of our intellectual property portfolio is to license additional rights and technologies from BCM. Our inability to license the rights and technologies that we have identified, or newly developed MAR-T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We may not be able to establish or maintain the third-party relationships, including strategic collaborations, that are necessary to develop, commercialize and/or market some or all of our product candidates.</w:t>
      </w:r>
    </w:p>
    <w:p>
      <w:pPr>
        <w:spacing w:after="0" w:line="121" w:lineRule="exact"/>
        <w:rPr>
          <w:sz w:val="20"/>
          <w:szCs w:val="20"/>
          <w:color w:val="auto"/>
        </w:rPr>
      </w:pPr>
    </w:p>
    <w:p>
      <w:pPr>
        <w:jc w:val="both"/>
        <w:ind w:firstLine="1"/>
        <w:spacing w:after="0" w:line="282" w:lineRule="auto"/>
        <w:rPr>
          <w:sz w:val="20"/>
          <w:szCs w:val="20"/>
          <w:color w:val="auto"/>
        </w:rPr>
      </w:pPr>
      <w:r>
        <w:rPr>
          <w:rFonts w:ascii="Arial" w:cs="Arial" w:eastAsia="Arial" w:hAnsi="Arial"/>
          <w:sz w:val="14"/>
          <w:szCs w:val="14"/>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4" w:orient="portrait"/>
          <w:cols w:equalWidth="0" w:num="1">
            <w:col w:w="10640"/>
          </w:cols>
          <w:pgMar w:left="620" w:top="1440" w:right="634" w:bottom="115" w:gutter="0" w:footer="0" w:header="0"/>
          <w:type w:val="continuous"/>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4" w:orient="portrait"/>
          <w:cols w:equalWidth="0" w:num="1">
            <w:col w:w="10640"/>
          </w:cols>
          <w:pgMar w:left="620" w:top="1440" w:right="634" w:bottom="115"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Commercialization of our Product Candidates</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5"/>
          <w:szCs w:val="15"/>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21"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19" w:lineRule="exact"/>
        <w:rPr>
          <w:sz w:val="20"/>
          <w:szCs w:val="20"/>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efficacy and safety of our product candidates as demonstrated in clinical trials and post-marketing experience;</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clinical indications for which our product candidates may be approved;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acceptance by physicians and patients of our product candidates as safe and effective;</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potential and perceived advantages of our product candidates over alternative treatments;</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safety of our product candidates seen in a broader patient group, including our use outside the approved indications should physicians choose to prescribe for such uses;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prevalence and severity of any side effects;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product labeling, or product insert requirements of the FDA or other regulatory authorities;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timing of market introduction of our product candidates as well as competitive products;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cost in relation to alternative treatments;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pricing and the availability of coverage and adequate reimbursement by third-party payors and government authorities;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relative convenience and ease of administration; and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effectiveness of any sales and marketing efforts.</w:t>
      </w:r>
    </w:p>
    <w:p>
      <w:pPr>
        <w:spacing w:after="0" w:line="19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4" w:orient="portrait"/>
          <w:cols w:equalWidth="0" w:num="1">
            <w:col w:w="10640"/>
          </w:cols>
          <w:pgMar w:left="620" w:top="1440" w:right="634" w:bottom="115" w:gutter="0" w:footer="0" w:header="0"/>
          <w:type w:val="continuous"/>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MAR-T cell therapy may be provided to patients in combination with other agents provided by third parties. The cost of such combination therapy may increase the overall cost of MAR-T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product candidates we develop may become subject to unfavorable third-party coverage and reimbursement practices, as well as pricing regulations.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Centers for Medicare &amp; Medicaid Services, or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4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in particular Juan Vera, M.D., who plays multiple roles as our President, Chief Executive Officer, and Principal Financial and Accounting Officer, as well as others. The loss of the services of our executive officer,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3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4" w:orient="portrait"/>
          <w:cols w:equalWidth="0" w:num="1">
            <w:col w:w="10640"/>
          </w:cols>
          <w:pgMar w:left="620" w:top="1440" w:right="634" w:bottom="115" w:gutter="0" w:footer="0" w:header="0"/>
          <w:type w:val="continuous"/>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1"/>
        <w:spacing w:after="0" w:line="294" w:lineRule="auto"/>
        <w:rPr>
          <w:sz w:val="20"/>
          <w:szCs w:val="20"/>
          <w:color w:val="auto"/>
        </w:rPr>
      </w:pPr>
      <w:r>
        <w:rPr>
          <w:rFonts w:ascii="Arial" w:cs="Arial" w:eastAsia="Arial" w:hAnsi="Arial"/>
          <w:sz w:val="14"/>
          <w:szCs w:val="14"/>
          <w:color w:val="auto"/>
        </w:rPr>
        <w:t>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3"/>
          <w:szCs w:val="13"/>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 party to perform sales and marketing functions, we may be unable to compete successfully against these more established companies.</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41" w:lineRule="exact"/>
        <w:rPr>
          <w:sz w:val="20"/>
          <w:szCs w:val="20"/>
          <w:color w:val="auto"/>
        </w:rPr>
      </w:pPr>
    </w:p>
    <w:p>
      <w:pPr>
        <w:jc w:val="both"/>
        <w:ind w:firstLine="1"/>
        <w:spacing w:after="0" w:line="277" w:lineRule="auto"/>
        <w:rPr>
          <w:sz w:val="20"/>
          <w:szCs w:val="20"/>
          <w:color w:val="auto"/>
        </w:rPr>
      </w:pPr>
      <w:r>
        <w:rPr>
          <w:rFonts w:ascii="Arial" w:cs="Arial" w:eastAsia="Arial" w:hAnsi="Arial"/>
          <w:sz w:val="14"/>
          <w:szCs w:val="14"/>
          <w:color w:val="auto"/>
        </w:rPr>
        <w:t>Potential competitors in the market for treating hematological malignancies include numerous pharmaceutical and biotechnology companies, as well as academic institutions, private and public research institutions, and government agencies. Treatment of relapsed patients with lymphoma remains a challenge with relatively low overall survival rates. To date, there are four CD19-directed CAR-T cell therapies (Yescarta, Kymriah, Tecartus, and Bryanzi) approved for patients with relapsed lymphoma. However, up to 60% of CD19 CAR-T cell treated patients will relapse, particularly in the third line setting (Chong EA et al, N Engl J Med, 2021). This highlights a significant unmet medical need for alternative and more effective treatments. Our MAR-T cell drug candidates may compete with product candidates from a number of companies, which are developing various types of immunotherapies to treat cancer, including non-CD19 targeting CAR-T cells that target different antigens beyond CD19, multi-targeted CAR-T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to patient population. Current and potential competitors may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4" w:orient="portrait"/>
          <w:cols w:equalWidth="0" w:num="1">
            <w:col w:w="10640"/>
          </w:cols>
          <w:pgMar w:left="620" w:top="1440" w:right="634" w:bottom="115" w:gutter="0" w:footer="0" w:header="0"/>
          <w:type w:val="continuous"/>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4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addition, certain of our immunotherapies may be subject to competition from investigational new drugs and/or products developed using other technologies, some of which have completed numerous clinical trials.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opportunities for our product candidates may be limited to those patients who are ineligible for or have failed prior treatments and may be small.</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patients with lymphoma who have relapsed after anti-CD19 CAR-T cell therapy or who are ineligible to receive anti-CD19 CAR-T cell treatment. Even if we obtain significant market share for our product candidates, because the potential target populations might be small, we may not achieve profitability without obtaining regulatory approval for additional indications, and we may spend large amounts of money trying to obtain approval for product candidates that have an uncertain commercial market.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regulatory pathways for biosimilar competition could reduce the duration of market exclusivity for our products.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Under the Patient Protection and Affordable Care Act, as amended by the Health Care and Education Reconciliation Act, or collectively, the ACA,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4" w:orient="portrait"/>
          <w:cols w:equalWidth="0" w:num="1">
            <w:col w:w="10640"/>
          </w:cols>
          <w:pgMar w:left="620" w:top="1440" w:right="634" w:bottom="115"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product liability lawsuits are brought against us, we may incur substantial liabilities and may be required to limit commercialization of our product candidates.</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4" w:lineRule="exact"/>
        <w:rPr>
          <w:sz w:val="20"/>
          <w:szCs w:val="20"/>
          <w:color w:val="auto"/>
        </w:rPr>
      </w:pPr>
    </w:p>
    <w:p>
      <w:pPr>
        <w:ind w:left="580" w:hanging="276"/>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decreased demand for our product candidates;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injury to our reputation;</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initiation of investigations by regulators;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costs to defend the related litigation;</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diversion of management’s time and our resources;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product recalls, withdrawals or labeling, marketing or promotional restrictions;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192"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exhaustion of any available insurance and our capital resources; and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inability to commercialize any product candidate.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our proprietary rights, we may not be able to compete effectively or operate profitably.</w:t>
      </w:r>
    </w:p>
    <w:p>
      <w:pPr>
        <w:spacing w:after="0" w:line="192"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4" w:orient="portrait"/>
          <w:cols w:equalWidth="0" w:num="1">
            <w:col w:w="10640"/>
          </w:cols>
          <w:pgMar w:left="620" w:top="1440" w:right="634" w:bottom="115"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47"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MAR-T cell product candidates, or our other product candidates, will be considered patentable by the USPTO, courts in the United States or by the patent offices and courts in foreign countries, nor can we be certain that the claims in our issued licensed European patent will not be found invalid or unenforceable if challenged.</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Most of our intellectual property rights are currently licensed from BCM,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134" w:lineRule="exact"/>
        <w:rPr>
          <w:sz w:val="20"/>
          <w:szCs w:val="20"/>
          <w:color w:val="auto"/>
        </w:rPr>
      </w:pPr>
    </w:p>
    <w:p>
      <w:pPr>
        <w:jc w:val="both"/>
        <w:ind w:left="580" w:hanging="275"/>
        <w:spacing w:after="0" w:line="276" w:lineRule="auto"/>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36" w:lineRule="exact"/>
        <w:rPr>
          <w:rFonts w:ascii="Arial" w:cs="Arial" w:eastAsia="Arial" w:hAnsi="Arial"/>
          <w:sz w:val="15"/>
          <w:szCs w:val="15"/>
          <w:color w:val="auto"/>
        </w:rPr>
      </w:pPr>
    </w:p>
    <w:p>
      <w:pPr>
        <w:ind w:left="580" w:hanging="275"/>
        <w:spacing w:after="0"/>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patent applications may not result in any patents being issued;</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patents that may be issued or in-licensed may be challenged, invalidated, modified, revoked, circumvented, found to be unenforceable or otherwise may not provide any competitive advantage;</w:t>
      </w:r>
    </w:p>
    <w:p>
      <w:pPr>
        <w:spacing w:after="0" w:line="119" w:lineRule="exact"/>
        <w:rPr>
          <w:rFonts w:ascii="Arial" w:cs="Arial" w:eastAsia="Arial" w:hAnsi="Arial"/>
          <w:sz w:val="15"/>
          <w:szCs w:val="15"/>
          <w:color w:val="auto"/>
        </w:rPr>
      </w:pPr>
    </w:p>
    <w:p>
      <w:pPr>
        <w:ind w:left="580" w:hanging="276"/>
        <w:spacing w:after="0" w:line="337" w:lineRule="auto"/>
        <w:tabs>
          <w:tab w:leader="none" w:pos="579"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96" w:lineRule="exact"/>
        <w:rPr>
          <w:rFonts w:ascii="Arial" w:cs="Arial" w:eastAsia="Arial" w:hAnsi="Arial"/>
          <w:sz w:val="14"/>
          <w:szCs w:val="14"/>
          <w:color w:val="auto"/>
        </w:rPr>
      </w:pPr>
    </w:p>
    <w:p>
      <w:pPr>
        <w:ind w:left="580" w:hanging="275"/>
        <w:spacing w:after="0" w:line="299" w:lineRule="auto"/>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19"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4" w:orient="portrait"/>
          <w:cols w:equalWidth="0" w:num="1">
            <w:col w:w="10640"/>
          </w:cols>
          <w:pgMar w:left="620" w:top="1440" w:right="634" w:bottom="115"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35" w:lineRule="exact"/>
        <w:rPr>
          <w:sz w:val="20"/>
          <w:szCs w:val="20"/>
          <w:color w:val="auto"/>
        </w:rPr>
      </w:pPr>
    </w:p>
    <w:p>
      <w:pPr>
        <w:jc w:val="both"/>
        <w:ind w:firstLine="1"/>
        <w:spacing w:after="0" w:line="277" w:lineRule="auto"/>
        <w:rPr>
          <w:sz w:val="20"/>
          <w:szCs w:val="20"/>
          <w:color w:val="auto"/>
        </w:rPr>
      </w:pPr>
      <w:r>
        <w:rPr>
          <w:rFonts w:ascii="Arial" w:cs="Arial" w:eastAsia="Arial" w:hAnsi="Arial"/>
          <w:sz w:val="14"/>
          <w:szCs w:val="14"/>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invalidations, or like proceedings, which may be brought in foreign jurisdictions to challenge the validity of a patent. A third -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defend the validity of patents and to prevent or remedy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violation of our patent rights, we may need to file a lawsuit. These lawsuits are expensive and would consume time and other resources, even if we were successful in stopping or remedying the violation of our patent rights. In addition, there is a risk that a court would decide that our patents are not valid and that we do not have the right to stop the other party from using the inventions. There is also the risk that, even if the validity of our patents was upheld, a court would refuse to stop the other party on the ground that its activities are not covered by, that is, do not infringe, our patents.</w:t>
      </w:r>
    </w:p>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If we, our licensing partners, or any potential future collaborator initiates legal proceedings against a third -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4" w:orient="portrait"/>
          <w:cols w:equalWidth="0" w:num="1">
            <w:col w:w="10640"/>
          </w:cols>
          <w:pgMar w:left="620" w:top="1440" w:right="634" w:bottom="115"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use of our technologies could potentially conflict with the rights of others.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 xml:space="preserve">Our potential competitors or other entities may have or acquire patent or proprietary rights that they could enforce against our licensor.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Such potential third-party patents or patent applications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product candidates.</w:t>
      </w:r>
    </w:p>
    <w:p>
      <w:pPr>
        <w:spacing w:after="0" w:line="192"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 xml:space="preserve">As is the case with other biopharmaceutical companies, our success is dependent on intellectual property, particularly patents. Obtaining and enforcing patents in the biopharmaceutical industry involves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3"/>
          <w:szCs w:val="13"/>
          <w:i w:val="1"/>
          <w:iCs w:val="1"/>
          <w:color w:val="auto"/>
        </w:rPr>
        <w:t>inter-partes</w:t>
      </w:r>
      <w:r>
        <w:rPr>
          <w:rFonts w:ascii="Arial" w:cs="Arial" w:eastAsia="Arial" w:hAnsi="Arial"/>
          <w:sz w:val="13"/>
          <w:szCs w:val="13"/>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4" w:orient="portrait"/>
          <w:cols w:equalWidth="0" w:num="1">
            <w:col w:w="10640"/>
          </w:cols>
          <w:pgMar w:left="620" w:top="1440" w:right="634" w:bottom="115" w:gutter="0" w:footer="0" w:header="0"/>
          <w:type w:val="continuous"/>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foreign intellectual property rights and may not be able to protect our intellectual property rights throughout the world.</w:t>
      </w:r>
    </w:p>
    <w:p>
      <w:pPr>
        <w:spacing w:after="0" w:line="19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35" w:lineRule="exact"/>
        <w:rPr>
          <w:sz w:val="20"/>
          <w:szCs w:val="20"/>
          <w:color w:val="auto"/>
        </w:rPr>
      </w:pPr>
    </w:p>
    <w:p>
      <w:pPr>
        <w:jc w:val="both"/>
        <w:ind w:firstLine="1"/>
        <w:spacing w:after="0" w:line="260"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For example, the complexity and uncertainty of European patent laws have also increased in recent years. In Europe, a new unitary patent system was introduced by the end of 2023, which significantly impacts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subject to claims that our employees, consultants or independent contractors have wrongfully used or disclosed confidential information of third parties.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4" w:orient="portrait"/>
          <w:cols w:equalWidth="0" w:num="1">
            <w:col w:w="10640"/>
          </w:cols>
          <w:pgMar w:left="620" w:top="1440" w:right="634" w:bottom="115"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1"/>
        <w:spacing w:after="0" w:line="297" w:lineRule="auto"/>
        <w:rPr>
          <w:sz w:val="20"/>
          <w:szCs w:val="20"/>
          <w:color w:val="auto"/>
        </w:rPr>
      </w:pPr>
      <w:r>
        <w:rPr>
          <w:rFonts w:ascii="Arial" w:cs="Arial" w:eastAsia="Arial" w:hAnsi="Arial"/>
          <w:sz w:val="15"/>
          <w:szCs w:val="15"/>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are a party to license agreements with BCM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 party, including but not limited to:</w:t>
      </w:r>
    </w:p>
    <w:p>
      <w:pPr>
        <w:spacing w:after="0" w:line="141" w:lineRule="exact"/>
        <w:rPr>
          <w:sz w:val="20"/>
          <w:szCs w:val="20"/>
          <w:color w:val="auto"/>
        </w:rPr>
      </w:pPr>
    </w:p>
    <w:p>
      <w:pPr>
        <w:ind w:left="580" w:hanging="276"/>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scope of rights granted under the license agreement and other interpretation-related issues;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extent to which our technology and processes infringe on intellectual property of the licensor that is not subject to the licensing agreement;</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sublicensing of patent and other rights;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diligence obligations under the license agreement and what activities satisfy those diligence obligations;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ownership of inventions and know-how resulting from the creation or use of intellectual property by us, alone or with our licensors and collaborators;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scope and duration of our payment obligations;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rights upon termination of such agreement; and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scope and duration of exclusivity obligations of each party to the agreement.</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Under our license agreement with BCM for our MAR-T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w:t>
      </w:r>
    </w:p>
    <w:p>
      <w:pPr>
        <w:spacing w:after="0" w:line="141"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our patents and other intellectual property.</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4" w:orient="portrait"/>
          <w:cols w:equalWidth="0" w:num="1">
            <w:col w:w="10640"/>
          </w:cols>
          <w:pgMar w:left="620" w:top="1440" w:right="634" w:bottom="115"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product candidates for an adequate amount of time.</w:t>
      </w:r>
    </w:p>
    <w:p>
      <w:pPr>
        <w:spacing w:after="0" w:line="192"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technologies are in-licensed from third parties, and the protection of those technologies is not entirely within our control.</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a world-wide exclusive license from BCM of the rights in and to three patent families to develop and commercialize MAR-T cell product candidates in the field of oncology. As a result of these in-licenses, we could lose the right to develop each of the technologies if:</w:t>
      </w:r>
    </w:p>
    <w:p>
      <w:pPr>
        <w:spacing w:after="0" w:line="119" w:lineRule="exact"/>
        <w:rPr>
          <w:sz w:val="20"/>
          <w:szCs w:val="20"/>
          <w:color w:val="auto"/>
        </w:rPr>
      </w:pPr>
    </w:p>
    <w:p>
      <w:pPr>
        <w:ind w:left="580" w:hanging="275"/>
        <w:spacing w:after="0" w:line="299" w:lineRule="auto"/>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owner (s) of the patent rights underlying the technologies that we license do not properly maintain or enforce the patents and intellectual property underlying those properties,</w:t>
      </w:r>
    </w:p>
    <w:p>
      <w:pPr>
        <w:spacing w:after="0" w:line="119" w:lineRule="exact"/>
        <w:rPr>
          <w:rFonts w:ascii="Arial" w:cs="Arial" w:eastAsia="Arial" w:hAnsi="Arial"/>
          <w:sz w:val="15"/>
          <w:szCs w:val="15"/>
          <w:color w:val="auto"/>
        </w:rPr>
      </w:pPr>
    </w:p>
    <w:p>
      <w:pPr>
        <w:ind w:left="580" w:hanging="276"/>
        <w:spacing w:after="0"/>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BCM seeks to terminate our license in contravention of the license agreements;</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fail to make all payments due and owing under any of the licenses; or</w:t>
      </w:r>
    </w:p>
    <w:p>
      <w:pPr>
        <w:spacing w:after="0" w:line="193" w:lineRule="exact"/>
        <w:rPr>
          <w:rFonts w:ascii="Arial" w:cs="Arial" w:eastAsia="Arial" w:hAnsi="Arial"/>
          <w:sz w:val="15"/>
          <w:szCs w:val="15"/>
          <w:color w:val="auto"/>
        </w:rPr>
      </w:pPr>
    </w:p>
    <w:p>
      <w:pPr>
        <w:ind w:left="580" w:hanging="276"/>
        <w:spacing w:after="0" w:line="299" w:lineRule="auto"/>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fail to obtain on commercially reasonable terms, if at all, in-licenses from BCM or others for other rights that are necessary to develop the technology that we have already in-licensed.</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If any of the above occurs, we could lose the right to use the in-licensed intellectual property, which would adversely affect our ability to commercialize our technologies, products or services. The loss of any current or future licenses from BCM, or the exclusivity rights provided by such license agreements, could materially harm our financial condition and operating results.</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4" w:orient="portrait"/>
          <w:cols w:equalWidth="0" w:num="1">
            <w:col w:w="10640"/>
          </w:cols>
          <w:pgMar w:left="620" w:top="1440" w:right="634" w:bottom="115"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and/or unenforceable, or that the patent claims should be limited or narrowly construed. Patents also will not protect our product candidates if competitors devise ways of making or using these product candidates without infringing our patents. 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3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 which could be expensive, time-consuming and unsuccessful.</w:t>
      </w:r>
    </w:p>
    <w:p>
      <w:pPr>
        <w:spacing w:after="0" w:line="204" w:lineRule="exact"/>
        <w:rPr>
          <w:sz w:val="20"/>
          <w:szCs w:val="20"/>
          <w:color w:val="auto"/>
        </w:rPr>
      </w:pPr>
    </w:p>
    <w:p>
      <w:pPr>
        <w:jc w:val="both"/>
        <w:ind w:firstLine="1"/>
        <w:spacing w:after="0" w:line="278" w:lineRule="auto"/>
        <w:rPr>
          <w:sz w:val="20"/>
          <w:szCs w:val="20"/>
          <w:color w:val="auto"/>
        </w:rPr>
      </w:pPr>
      <w:r>
        <w:rPr>
          <w:rFonts w:ascii="Arial" w:cs="Arial" w:eastAsia="Arial" w:hAnsi="Arial"/>
          <w:sz w:val="14"/>
          <w:szCs w:val="14"/>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33"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Interference or derivation proceedings provoked by third parties or brought by us or declared by the USPTO may be necessary to determine the priority of inventions with respect to our patents or patent applications or those of our licensor.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4" w:orient="portrait"/>
          <w:cols w:equalWidth="0" w:num="1">
            <w:col w:w="10640"/>
          </w:cols>
          <w:pgMar w:left="620" w:top="1440" w:right="634" w:bottom="115"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adequately prevent disclosure of trade secrets and other proprietary information.</w:t>
      </w:r>
    </w:p>
    <w:p>
      <w:pPr>
        <w:spacing w:after="0" w:line="192"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2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If we are unable to maintain and/or obtain licenses needed for the development of our product candidates in the future, we may have to develop alternatives to avoid infringing on the patents of others, potentially causing increased costs and delays in product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4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Government Regulation</w:t>
      </w:r>
    </w:p>
    <w:p>
      <w:pPr>
        <w:spacing w:after="0" w:line="197" w:lineRule="exact"/>
        <w:rPr>
          <w:sz w:val="20"/>
          <w:szCs w:val="20"/>
          <w:color w:val="auto"/>
        </w:rPr>
      </w:pPr>
    </w:p>
    <w:p>
      <w:pPr>
        <w:jc w:val="both"/>
        <w:spacing w:after="0" w:line="336" w:lineRule="auto"/>
        <w:rPr>
          <w:sz w:val="20"/>
          <w:szCs w:val="20"/>
          <w:color w:val="auto"/>
        </w:rPr>
      </w:pPr>
      <w:r>
        <w:rPr>
          <w:rFonts w:ascii="Arial" w:cs="Arial" w:eastAsia="Arial" w:hAnsi="Arial"/>
          <w:sz w:val="13"/>
          <w:szCs w:val="13"/>
          <w:b w:val="1"/>
          <w:bCs w:val="1"/>
          <w:i w:val="1"/>
          <w:iCs w:val="1"/>
          <w:color w:val="auto"/>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03" w:lineRule="exact"/>
        <w:rPr>
          <w:sz w:val="20"/>
          <w:szCs w:val="20"/>
          <w:color w:val="auto"/>
        </w:rPr>
      </w:pPr>
    </w:p>
    <w:p>
      <w:pPr>
        <w:jc w:val="both"/>
        <w:ind w:firstLine="1"/>
        <w:spacing w:after="0" w:line="323" w:lineRule="auto"/>
        <w:rPr>
          <w:sz w:val="20"/>
          <w:szCs w:val="20"/>
          <w:color w:val="auto"/>
        </w:rPr>
      </w:pPr>
      <w:r>
        <w:rPr>
          <w:rFonts w:ascii="Arial" w:cs="Arial" w:eastAsia="Arial" w:hAnsi="Arial"/>
          <w:sz w:val="13"/>
          <w:szCs w:val="13"/>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No adoptive T cell therapy using MAR-T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4" w:orient="portrait"/>
          <w:cols w:equalWidth="0" w:num="1">
            <w:col w:w="10640"/>
          </w:cols>
          <w:pgMar w:left="620" w:top="1440" w:right="634" w:bottom="115"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1"/>
        <w:spacing w:after="0" w:line="282" w:lineRule="auto"/>
        <w:rPr>
          <w:sz w:val="20"/>
          <w:szCs w:val="20"/>
          <w:color w:val="auto"/>
        </w:rPr>
      </w:pPr>
      <w:r>
        <w:rPr>
          <w:rFonts w:ascii="Arial" w:cs="Arial" w:eastAsia="Arial" w:hAnsi="Arial"/>
          <w:sz w:val="14"/>
          <w:szCs w:val="14"/>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34"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22" w:lineRule="exact"/>
        <w:rPr>
          <w:sz w:val="20"/>
          <w:szCs w:val="20"/>
          <w:color w:val="auto"/>
        </w:rPr>
      </w:pPr>
    </w:p>
    <w:p>
      <w:pPr>
        <w:ind w:left="580" w:hanging="276"/>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our product candidates, withdrawal of the product from the market, or voluntary or mandatory product recalls;</w:t>
      </w:r>
    </w:p>
    <w:p>
      <w:pPr>
        <w:spacing w:after="0" w:line="205" w:lineRule="exact"/>
        <w:rPr>
          <w:rFonts w:ascii="Arial" w:cs="Arial" w:eastAsia="Arial" w:hAnsi="Arial"/>
          <w:sz w:val="14"/>
          <w:szCs w:val="14"/>
          <w:color w:val="auto"/>
        </w:rPr>
      </w:pPr>
    </w:p>
    <w:p>
      <w:pPr>
        <w:ind w:left="580" w:hanging="276"/>
        <w:spacing w:after="0"/>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fines, warning letters or holds on clinical trials;</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refusal by the FDA to approve pending applications or supplements to approved applications filed by us or suspension or revocation of license approvals;</w:t>
      </w:r>
    </w:p>
    <w:p>
      <w:pPr>
        <w:spacing w:after="0" w:line="205" w:lineRule="exact"/>
        <w:rPr>
          <w:rFonts w:ascii="Arial" w:cs="Arial" w:eastAsia="Arial" w:hAnsi="Arial"/>
          <w:sz w:val="14"/>
          <w:szCs w:val="14"/>
          <w:color w:val="auto"/>
        </w:rPr>
      </w:pPr>
    </w:p>
    <w:p>
      <w:pPr>
        <w:ind w:left="580" w:hanging="276"/>
        <w:spacing w:after="0"/>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product seizure or detention, or refusal to permit the import or export of our product candidates; and</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4" w:orient="portrait"/>
          <w:cols w:equalWidth="0" w:num="1">
            <w:col w:w="10640"/>
          </w:cols>
          <w:pgMar w:left="620" w:top="1440" w:right="634" w:bottom="115" w:gutter="0" w:footer="0" w:header="0"/>
          <w:type w:val="continuous"/>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43" w:lineRule="exact"/>
        <w:rPr>
          <w:sz w:val="20"/>
          <w:szCs w:val="20"/>
          <w:color w:val="auto"/>
        </w:rPr>
      </w:pPr>
    </w:p>
    <w:p>
      <w:pPr>
        <w:jc w:val="both"/>
        <w:ind w:firstLine="1"/>
        <w:spacing w:after="0" w:line="288" w:lineRule="auto"/>
        <w:rPr>
          <w:sz w:val="20"/>
          <w:szCs w:val="20"/>
          <w:color w:val="auto"/>
        </w:rPr>
      </w:pPr>
      <w:r>
        <w:rPr>
          <w:rFonts w:ascii="Arial" w:cs="Arial" w:eastAsia="Arial" w:hAnsi="Arial"/>
          <w:sz w:val="14"/>
          <w:szCs w:val="14"/>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Such laws include:</w:t>
      </w:r>
    </w:p>
    <w:p>
      <w:pPr>
        <w:spacing w:after="0" w:line="194" w:lineRule="exact"/>
        <w:rPr>
          <w:sz w:val="20"/>
          <w:szCs w:val="20"/>
          <w:color w:val="auto"/>
        </w:rPr>
      </w:pPr>
    </w:p>
    <w:p>
      <w:pPr>
        <w:jc w:val="both"/>
        <w:ind w:left="580" w:hanging="275"/>
        <w:spacing w:after="0" w:line="305" w:lineRule="auto"/>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17" w:lineRule="exact"/>
        <w:rPr>
          <w:rFonts w:ascii="Arial" w:cs="Arial" w:eastAsia="Arial" w:hAnsi="Arial"/>
          <w:sz w:val="14"/>
          <w:szCs w:val="14"/>
          <w:color w:val="auto"/>
        </w:rPr>
      </w:pPr>
    </w:p>
    <w:p>
      <w:pPr>
        <w:jc w:val="both"/>
        <w:ind w:left="580" w:hanging="275"/>
        <w:spacing w:after="0" w:line="305" w:lineRule="auto"/>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18" w:lineRule="exact"/>
        <w:rPr>
          <w:rFonts w:ascii="Arial" w:cs="Arial" w:eastAsia="Arial" w:hAnsi="Arial"/>
          <w:sz w:val="14"/>
          <w:szCs w:val="14"/>
          <w:color w:val="auto"/>
        </w:rPr>
      </w:pPr>
    </w:p>
    <w:p>
      <w:pPr>
        <w:ind w:left="580" w:hanging="275"/>
        <w:spacing w:after="0" w:line="299"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19" w:lineRule="exact"/>
        <w:rPr>
          <w:rFonts w:ascii="Arial" w:cs="Arial" w:eastAsia="Arial" w:hAnsi="Arial"/>
          <w:sz w:val="15"/>
          <w:szCs w:val="15"/>
          <w:color w:val="auto"/>
        </w:rPr>
      </w:pPr>
    </w:p>
    <w:p>
      <w:pPr>
        <w:jc w:val="both"/>
        <w:ind w:left="580" w:hanging="275"/>
        <w:spacing w:after="0" w:line="323" w:lineRule="auto"/>
        <w:tabs>
          <w:tab w:leader="none" w:pos="5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HIPAA, as amended by the Health Information Technology for Economic and Clinical Health Act, or HITECH,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p>
      <w:pPr>
        <w:spacing w:after="0" w:line="110" w:lineRule="exact"/>
        <w:rPr>
          <w:rFonts w:ascii="Arial" w:cs="Arial" w:eastAsia="Arial" w:hAnsi="Arial"/>
          <w:sz w:val="13"/>
          <w:szCs w:val="13"/>
          <w:color w:val="auto"/>
        </w:rPr>
      </w:pPr>
    </w:p>
    <w:p>
      <w:pPr>
        <w:jc w:val="both"/>
        <w:ind w:left="580" w:hanging="275"/>
        <w:spacing w:after="0" w:line="265"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 care professionals)(such as physician assistants and nurse practitioners) and teaching hospitals, as well as information regarding ownership and investment interests held by physicians and their immediate family members; and</w:t>
      </w:r>
    </w:p>
    <w:p>
      <w:pPr>
        <w:spacing w:after="0" w:line="145" w:lineRule="exact"/>
        <w:rPr>
          <w:rFonts w:ascii="Arial" w:cs="Arial" w:eastAsia="Arial" w:hAnsi="Arial"/>
          <w:sz w:val="15"/>
          <w:szCs w:val="15"/>
          <w:color w:val="auto"/>
        </w:rPr>
      </w:pPr>
    </w:p>
    <w:p>
      <w:pPr>
        <w:jc w:val="both"/>
        <w:ind w:left="580" w:hanging="275"/>
        <w:spacing w:after="0" w:line="269"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analogous state, local, and foreign laws and regulations, such as state anti-kickback and false claims laws, which may apply to sales or marketing arrangements and claims involving healthcare items or services reimbursed by non-governmental third - party payors, including private insurers; state laws that require pharmaceutical companies to comply with the pharmaceutical industry’s voluntary compliance guidelines and the relevant compliance guidance promulgated by the federal government; state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4" w:orient="portrait"/>
          <w:cols w:equalWidth="0" w:num="1">
            <w:col w:w="10640"/>
          </w:cols>
          <w:pgMar w:left="620" w:top="1440" w:right="634" w:bottom="115"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580"/>
        <w:spacing w:after="0" w:line="269" w:lineRule="auto"/>
        <w:rPr>
          <w:sz w:val="20"/>
          <w:szCs w:val="20"/>
          <w:color w:val="auto"/>
        </w:rPr>
      </w:pPr>
      <w:r>
        <w:rPr>
          <w:rFonts w:ascii="Arial" w:cs="Arial" w:eastAsia="Arial" w:hAnsi="Arial"/>
          <w:sz w:val="15"/>
          <w:szCs w:val="15"/>
          <w:color w:val="auto"/>
        </w:rPr>
        <w:t>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3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addition, any sales of our product once commercialized outside the U.S. will also likely subject us to foreign equivalents of the healthcare laws mentioned above, among other foreign laws.</w:t>
      </w:r>
    </w:p>
    <w:p>
      <w:pPr>
        <w:spacing w:after="0" w:line="12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37" w:lineRule="exact"/>
        <w:rPr>
          <w:sz w:val="20"/>
          <w:szCs w:val="20"/>
          <w:color w:val="auto"/>
        </w:rPr>
      </w:pPr>
    </w:p>
    <w:p>
      <w:pPr>
        <w:jc w:val="both"/>
        <w:ind w:firstLine="1"/>
        <w:spacing w:after="0" w:line="277" w:lineRule="auto"/>
        <w:rPr>
          <w:sz w:val="20"/>
          <w:szCs w:val="20"/>
          <w:color w:val="auto"/>
        </w:rPr>
      </w:pPr>
      <w:r>
        <w:rPr>
          <w:rFonts w:ascii="Arial" w:cs="Arial" w:eastAsia="Arial" w:hAnsi="Arial"/>
          <w:sz w:val="14"/>
          <w:szCs w:val="14"/>
          <w:color w:val="auto"/>
        </w:rPr>
        <w:t>For example,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There have been judicial, Congressional and executive branch challenges to certain aspects of the ACA. For example, Congress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June 17, 2021, the U.S. Supreme Court dismissed a challenge on procedural grounds that argued the ACA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spacing w:after="0" w:line="143" w:lineRule="exact"/>
        <w:rPr>
          <w:sz w:val="20"/>
          <w:szCs w:val="20"/>
          <w:color w:val="auto"/>
        </w:rPr>
      </w:pPr>
    </w:p>
    <w:p>
      <w:pPr>
        <w:jc w:val="both"/>
        <w:ind w:firstLine="1"/>
        <w:spacing w:after="0" w:line="261" w:lineRule="auto"/>
        <w:rPr>
          <w:sz w:val="20"/>
          <w:szCs w:val="20"/>
          <w:color w:val="auto"/>
        </w:rPr>
      </w:pPr>
      <w:r>
        <w:rPr>
          <w:rFonts w:ascii="Arial" w:cs="Arial" w:eastAsia="Arial" w:hAnsi="Arial"/>
          <w:sz w:val="15"/>
          <w:szCs w:val="15"/>
          <w:color w:val="auto"/>
        </w:rPr>
        <w:t>In addition, other federal health reform measures have been proposed and adopted in the United States. For example, as a result of the Budget Control Act of 2011 and subsequent legislative amendments thereto, including the Infrastructure Investment and Jobs Act, providers are subject to Medicare payment reductions of 2% per fiscal year until 2031, unless additional Congressional action is taken. Under current legislation the actual reduction in Medicare Payments will vary from 1% in 2022 to up to 3% in the fiscal year of this sequester.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4" w:orient="portrait"/>
          <w:cols w:equalWidth="0" w:num="1">
            <w:col w:w="10640"/>
          </w:cols>
          <w:pgMar w:left="620" w:top="1440" w:right="634" w:bottom="115"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3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for example,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addition, the One Big Beautiful Bill Act (“OBBBA”), which was signed into law on July 4, 2025, includes provisions that will impact the United States healthcare system in various ways. For example, the OBBBA is expected to significantly reshape the Medicaid program, including by introducing new work and eligibility requirements and changes to Medicaid payment and financing. Although the full impact of the OBBBA on the healthcare system and our business is uncertain, we may face increased costs and complexity in completing clinical development of and commercializing any product candidates for which we may receive regulatory approval, which could adversely affect our business and prospects.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spacing w:after="0" w:line="137"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expect that additional state and federal healthcare reform measures will continue to be adopted in the future.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4" w:orient="portrait"/>
          <w:cols w:equalWidth="0" w:num="1">
            <w:col w:w="10640"/>
          </w:cols>
          <w:pgMar w:left="620" w:top="1440" w:right="634" w:bottom="115"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336" w:lineRule="auto"/>
        <w:rPr>
          <w:sz w:val="20"/>
          <w:szCs w:val="20"/>
          <w:color w:val="auto"/>
        </w:rPr>
      </w:pPr>
      <w:r>
        <w:rPr>
          <w:rFonts w:ascii="Arial" w:cs="Arial" w:eastAsia="Arial" w:hAnsi="Arial"/>
          <w:sz w:val="13"/>
          <w:szCs w:val="13"/>
          <w:b w:val="1"/>
          <w:bCs w:val="1"/>
          <w:i w:val="1"/>
          <w:iCs w:val="1"/>
          <w:color w:val="auto"/>
        </w:rPr>
        <w:t>We are subject to stringent and changing laws, regulations, rules, contractual obligations, policies and other obligations related to data privacy and security. Our actual or perceived failure to comply with such obligations could lead to regulatory investigations or regulatory investigations or actions; litigation; fines and penalties; disruptions of our business operations; reputational harm; loss of revenue or profits; loss of customers or sales; and other adverse business consequences.</w:t>
      </w:r>
    </w:p>
    <w:p>
      <w:pPr>
        <w:spacing w:after="0" w:line="103" w:lineRule="exact"/>
        <w:rPr>
          <w:sz w:val="20"/>
          <w:szCs w:val="20"/>
          <w:color w:val="auto"/>
        </w:rPr>
      </w:pPr>
    </w:p>
    <w:p>
      <w:pPr>
        <w:jc w:val="both"/>
        <w:ind w:firstLine="1"/>
        <w:spacing w:after="0" w:line="288" w:lineRule="auto"/>
        <w:rPr>
          <w:sz w:val="20"/>
          <w:szCs w:val="20"/>
          <w:color w:val="auto"/>
        </w:rPr>
      </w:pPr>
      <w:r>
        <w:rPr>
          <w:rFonts w:ascii="Arial" w:cs="Arial" w:eastAsia="Arial" w:hAnsi="Arial"/>
          <w:sz w:val="14"/>
          <w:szCs w:val="14"/>
          <w:color w:val="auto"/>
        </w:rPr>
        <w:t>In the ordinary course of our business, we may collect, receive, store, process, generate, use, transmit, disclose, make accessible, protect, secure, dispose of, share (collectively, processing) personal data and other sensitive data, including proprietary and confidential business data, intellectual property, trade secrets, data regarding clinical trial subjects, and sensitive third-party data. We may rely on third parties (such as service providers) for our data processing-related activities.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Additionally, the California Consumer Privacy Act of 2018, or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California Privacy Rights Act of 2020, or CPRA, expands the CCPA’s requirements, including by adding a new right for individuals to correct their personal data and establishing a new regulatory agency to implement and enforce the law. 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and the third parties upon whom we rely. Outside the United States, an increasing number of laws, regulations, and industry standards apply to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4" w:orient="portrait"/>
          <w:cols w:equalWidth="0" w:num="1">
            <w:col w:w="10640"/>
          </w:cols>
          <w:pgMar w:left="620" w:top="1440" w:right="634" w:bottom="115"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stock may be volatile.</w:t>
      </w:r>
    </w:p>
    <w:p>
      <w:pPr>
        <w:spacing w:after="0" w:line="192"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p>
      <w:pPr>
        <w:spacing w:after="0" w:line="145" w:lineRule="exact"/>
        <w:rPr>
          <w:sz w:val="20"/>
          <w:szCs w:val="20"/>
          <w:color w:val="auto"/>
        </w:rPr>
      </w:pPr>
    </w:p>
    <w:p>
      <w:pPr>
        <w:ind w:left="580" w:hanging="27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price and volume of fluctuations in the overall stock market from time to time;</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fluctuations in stock market prices and trading volumes of similar companies;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thinly traded nature of our common stock;</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actual or anticipated changes in our net loss or fluctuations in our operating results or in the expectations of securities analysts;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results of our preclinical studies and clinical trials or delays in anticipated timing;</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issuance of new equity securities pursuant to a future offering, including issuances of preferred stock, or sales of large blocks of our stock and sales by insiders and our institutional investors;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announcements of new collaboration agreements with strategic partners or developments by our existing collaboration partners;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announcements of acquisitions, mergers or business combinations;</w:t>
      </w:r>
    </w:p>
    <w:p>
      <w:pPr>
        <w:spacing w:after="0" w:line="193" w:lineRule="exact"/>
        <w:rPr>
          <w:rFonts w:ascii="Arial" w:cs="Arial" w:eastAsia="Arial" w:hAnsi="Arial"/>
          <w:sz w:val="15"/>
          <w:szCs w:val="15"/>
          <w:color w:val="auto"/>
        </w:rPr>
      </w:pPr>
    </w:p>
    <w:p>
      <w:pPr>
        <w:ind w:left="580" w:hanging="275"/>
        <w:spacing w:after="0" w:line="299" w:lineRule="auto"/>
        <w:tabs>
          <w:tab w:leader="none" w:pos="581"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competitive developments, including announcements by competitors of new products or services or significant contracts, acquisitions, strategic partnerships, joint ventures or capital commitments;</w:t>
      </w:r>
    </w:p>
    <w:p>
      <w:pPr>
        <w:spacing w:after="0" w:line="119" w:lineRule="exact"/>
        <w:rPr>
          <w:rFonts w:ascii="Arial" w:cs="Arial" w:eastAsia="Arial" w:hAnsi="Arial"/>
          <w:sz w:val="15"/>
          <w:szCs w:val="15"/>
          <w:color w:val="auto"/>
        </w:rPr>
      </w:pPr>
    </w:p>
    <w:p>
      <w:pPr>
        <w:ind w:left="580" w:hanging="276"/>
        <w:spacing w:after="0" w:line="299" w:lineRule="auto"/>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general economic conditions and trends, including changes in interest rates, and other national and global conditions, including pandemics and related global economic uncertainty;</w:t>
      </w:r>
    </w:p>
    <w:p>
      <w:pPr>
        <w:spacing w:after="0" w:line="119" w:lineRule="exact"/>
        <w:rPr>
          <w:rFonts w:ascii="Arial" w:cs="Arial" w:eastAsia="Arial" w:hAnsi="Arial"/>
          <w:sz w:val="15"/>
          <w:szCs w:val="15"/>
          <w:color w:val="auto"/>
        </w:rPr>
      </w:pPr>
    </w:p>
    <w:p>
      <w:pPr>
        <w:ind w:left="580" w:hanging="27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major catastrophic events;</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departures of key personnel;</w:t>
      </w:r>
    </w:p>
    <w:p>
      <w:pPr>
        <w:spacing w:after="0" w:line="193" w:lineRule="exact"/>
        <w:rPr>
          <w:rFonts w:ascii="Arial" w:cs="Arial" w:eastAsia="Arial" w:hAnsi="Arial"/>
          <w:sz w:val="15"/>
          <w:szCs w:val="15"/>
          <w:color w:val="auto"/>
        </w:rPr>
      </w:pPr>
    </w:p>
    <w:p>
      <w:pPr>
        <w:ind w:left="580" w:hanging="276"/>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events affecting BCM, our CDMO or any future collaborators;</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announcements of new product candidates or technologies, commercial relationships or other events, including the results of clinical trials, or variations in our quarterly operating results;</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regulatory developments in the United States and other countries, including changes in the structure of healthcare payment systems, or other positive and negative events relating to healthcare and the overall pharmaceutical and biotechnology sectors;</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of our common stock to maintain listing requirements on Nasdaq;</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outcome of any litigation to which we are a party;</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accounting principles; and</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4" w:orient="portrait"/>
          <w:cols w:equalWidth="0" w:num="1">
            <w:col w:w="10640"/>
          </w:cols>
          <w:pgMar w:left="620" w:top="1440" w:right="634" w:bottom="115"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 w:hanging="275"/>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discussion of our company or our stock price by the financial and scientific press and in online investor communities.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stock market in general, and the Nasdaq Capital Market, or Nasdaq, and biotechnology companies in particular, have experienced extreme price and volume fluctuations that have often been unrelated or disproportionate to the operating performance of these companies. Broad market and industry factors, including potentially worsening economic conditions,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Sales of additional equity securities may adversely affect the market price of our common stock and your rights may be reduced. Our stockholders may experience dilution in the future and it may adversely affect the market price of our securities.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but have entered into the ATM agreement under which we may sell shares. To the extent that we sell equity securities or convertible debt securities, including under the ATM agreement,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As of December 31, 2025, we had 16.7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December 31, 2025, there were outstanding options for an aggregate of approximately 1.8 million shares of common stock at a weighted average exercise price of $7.77 per share. Further, as of December 31, 2025, there were outstanding warrants for an aggregate of approximately 7.7 million shares of common stock at a weighted average exercise price of $2.62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intend to pay cash dividends.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Risk Factors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may become involved in legal proceedings.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are not currently a party to any material legal proceedings that we believe could have an adverse effect on our business, operating results or financial condition. However, from time to time, we may become involved in legal proceedings, including those arising in the ordinary course of doing business. For example, we may be subject to claims from our employees, consultants, vendors and other third</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4" w:orient="portrait"/>
          <w:cols w:equalWidth="0" w:num="1">
            <w:col w:w="10640"/>
          </w:cols>
          <w:pgMar w:left="620" w:top="1440" w:right="634" w:bottom="115" w:gutter="0" w:footer="0" w:header="0"/>
          <w:type w:val="continuous"/>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parties with whom we have a contractual relationship. Litigation may be necessary to defend against these claims. Even if we are successful in defending against these claims, litigation could result in substantial cost and be a distraction to our management and employees.</w:t>
      </w:r>
    </w:p>
    <w:p>
      <w:pPr>
        <w:spacing w:after="0" w:line="120" w:lineRule="exact"/>
        <w:rPr>
          <w:sz w:val="20"/>
          <w:szCs w:val="20"/>
          <w:color w:val="auto"/>
        </w:rPr>
      </w:pPr>
    </w:p>
    <w:p>
      <w:pPr>
        <w:jc w:val="both"/>
        <w:spacing w:after="0" w:line="304" w:lineRule="auto"/>
        <w:rPr>
          <w:sz w:val="20"/>
          <w:szCs w:val="20"/>
          <w:color w:val="auto"/>
        </w:rPr>
      </w:pPr>
      <w:r>
        <w:rPr>
          <w:rFonts w:ascii="Arial" w:cs="Arial" w:eastAsia="Arial" w:hAnsi="Arial"/>
          <w:sz w:val="14"/>
          <w:szCs w:val="14"/>
          <w:b w:val="1"/>
          <w:bCs w:val="1"/>
          <w:i w:val="1"/>
          <w:iCs w:val="1"/>
          <w:color w:val="auto"/>
        </w:rPr>
        <w:t>If our information technology systems or data, or those of third parties upon which we rely, are or were compromised, or are perceived to have been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the ordinary course of our business, we and the third parties upon which we rely, may collect, receive, store, use, transmit, disclose, transfer, disclose, make accessible, protect, secure, dispose of, transmit, share, or otherwise process proprietary, confidential, and sensitive data, including personal data (such as health-related data regarding clinical trial subjects), intellectual property, and trade secrets.</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threats, including, but not limited to, malicious code (such as viruses and worms), social engineering attacks (including through phishing attacks), malware (including as a result of advanced persistent threat intrusions), denial of service attacks (such as credential stuffing), credential harvesting, software bugs, server malfunctions, software or hardware failures, unauthorized access, natural disasters, fire, terrorism, successful breaches, personnel misconduct or error, or human or technological error, war and telecommunication and electrical failures.</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In particular, severe ransomware attacks are becoming increasingly prevalent and severe, and can lead to significant interruptions in our operations, loss of sensitive data, reputational harm, and diversion of funds. Extortion payments may alleviate some of the negative impact of a ransomware attack, but we may be unwilling or unable to make such payments due to, for example, applicable laws or regulations prohibiting such payments. Additionally, future pandemics could pose increased risks to our information technology systems and data if our employees are required to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5" w:lineRule="exact"/>
        <w:rPr>
          <w:sz w:val="20"/>
          <w:szCs w:val="20"/>
          <w:color w:val="auto"/>
        </w:rPr>
      </w:pPr>
    </w:p>
    <w:p>
      <w:pPr>
        <w:jc w:val="both"/>
        <w:ind w:firstLine="1"/>
        <w:spacing w:after="0" w:line="301" w:lineRule="auto"/>
        <w:rPr>
          <w:sz w:val="20"/>
          <w:szCs w:val="20"/>
          <w:color w:val="auto"/>
        </w:rPr>
      </w:pPr>
      <w:r>
        <w:rPr>
          <w:rFonts w:ascii="Arial" w:cs="Arial" w:eastAsia="Arial" w:hAnsi="Arial"/>
          <w:sz w:val="13"/>
          <w:szCs w:val="13"/>
          <w:color w:val="auto"/>
        </w:rPr>
        <w:t>We rely on third parties (such as service providers and technologies) to process sensitive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Any of the previously identified or similar threats could cause a security incident or other incident during which our information technology systems or data could be compromised, which could result in unauthorized, unlawful, or accidental acquisition, modification, destruction, loss, alteration, encryption, disclosure of, or access to our data; it could also disrupt our ability (and that of third parties upon which we rely) to operate our business, including conducting our clinical trials. For example, if a compromise were to occur and cause interruptions in our operations, it could result in a material disruption of our drug development programs. Similarly,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4" w:orient="portrait"/>
          <w:cols w:equalWidth="0" w:num="1">
            <w:col w:w="10640"/>
          </w:cols>
          <w:pgMar w:left="620" w:top="1440" w:right="634" w:bottom="115"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disclosure of confidential or proprietary information, we could incur liability and the further development of our product candidates could be delayed.</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may expend significant resources or modify our business activities (including our clinical trial activities) in an effort to protect against the compromise of our information technology systems and data. Further, certain data privacy and security obligations may require us to implement and maintain specific security measures, industry-standard or reasonable security measures to protect our information technology systems and data. While we have implemented security measures designed to prevent our information technology systems and data from being compromised, there can be no assurance that these measures will be effective. We may be unable to detect vulnerabilities in our information technology systems because the threats against these systems change frequently, are often sophisticated, and may not be detected until after a compromise has occurred. Despite our efforts to identify and remediate vulnerabilities, if any, in our information technology systems, our efforts may not be successful. Further, we may experience delays in developing and deploying remedial measures designed to address any identified vulnerabilities.</w:t>
      </w:r>
    </w:p>
    <w:p>
      <w:pPr>
        <w:spacing w:after="0" w:line="135" w:lineRule="exact"/>
        <w:rPr>
          <w:sz w:val="20"/>
          <w:szCs w:val="20"/>
          <w:color w:val="auto"/>
        </w:rPr>
      </w:pPr>
    </w:p>
    <w:p>
      <w:pPr>
        <w:jc w:val="both"/>
        <w:ind w:firstLine="1"/>
        <w:spacing w:after="0" w:line="279" w:lineRule="auto"/>
        <w:rPr>
          <w:sz w:val="20"/>
          <w:szCs w:val="20"/>
          <w:color w:val="auto"/>
        </w:rPr>
      </w:pPr>
      <w:r>
        <w:rPr>
          <w:rFonts w:ascii="Arial" w:cs="Arial" w:eastAsia="Arial" w:hAnsi="Arial"/>
          <w:sz w:val="14"/>
          <w:szCs w:val="14"/>
          <w:color w:val="auto"/>
        </w:rPr>
        <w:t>If we (or a third -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data (including personal data); litigation (including class actions); indemnification obligations; negative publicity; reputational harm; monetary fund diversions; interruptions in our operations (including availability of data); financial loss; and other similar harms. Additionally, applicable data privacy and security obligations may require us to notify relevant stakeholders; such disclosures are costly, and the disclosures or the failure to comply with such requirements could lead to adverse consequences. Our contracts may not contain limitations of liability, and even where they do, there can be no assurance that limitations of liability in our contracts are sufficient to protect us from claims related to our data privacy and security obligations.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 Additionally, we cannot be sure that such coverage will continue to be available on commercially reasonable terms or at all, or that such coverage will pay future claims.</w:t>
      </w:r>
    </w:p>
    <w:p>
      <w:pPr>
        <w:spacing w:after="0" w:line="138" w:lineRule="exact"/>
        <w:rPr>
          <w:sz w:val="20"/>
          <w:szCs w:val="20"/>
          <w:color w:val="auto"/>
        </w:rPr>
      </w:pPr>
    </w:p>
    <w:p>
      <w:pPr>
        <w:jc w:val="both"/>
        <w:spacing w:after="0" w:line="335"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98"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spacing w:after="0" w:line="9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41" w:lineRule="exact"/>
        <w:rPr>
          <w:sz w:val="20"/>
          <w:szCs w:val="20"/>
          <w:color w:val="auto"/>
        </w:rPr>
      </w:pPr>
    </w:p>
    <w:p>
      <w:pPr>
        <w:jc w:val="both"/>
        <w:ind w:firstLine="1"/>
        <w:spacing w:after="0" w:line="282" w:lineRule="auto"/>
        <w:rPr>
          <w:sz w:val="20"/>
          <w:szCs w:val="20"/>
          <w:color w:val="auto"/>
        </w:rPr>
      </w:pPr>
      <w:r>
        <w:rPr>
          <w:rFonts w:ascii="Arial" w:cs="Arial" w:eastAsia="Arial" w:hAnsi="Arial"/>
          <w:sz w:val="14"/>
          <w:szCs w:val="14"/>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4" w:orient="portrait"/>
          <w:cols w:equalWidth="0" w:num="1">
            <w:col w:w="10640"/>
          </w:cols>
          <w:pgMar w:left="620" w:top="1440" w:right="634" w:bottom="115"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net operating losses and certain other tax attributes to offset future taxable income may be subject to limitation.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net operating loss, or NOL, carryforwards could expire unused and be unavailable to offset future income tax liabilities because of their limited duration or because of restrictions under U.S. tax law. Our federal NOLs generated in tax years beginning before January 1, 2018, are permitted to be carried forward for only 20 years under applicable U.S. tax law. Our federal NOLs generated in tax years beginning after December 31, 2017, may be carried forward indefinitely, but the deductibility of such federal NOLs is limited to 80% of taxable income. It is uncertain if and to what extent various states will conform to federal tax law.</w:t>
      </w:r>
    </w:p>
    <w:p>
      <w:pPr>
        <w:spacing w:after="0" w:line="141" w:lineRule="exact"/>
        <w:rPr>
          <w:sz w:val="20"/>
          <w:szCs w:val="20"/>
          <w:color w:val="auto"/>
        </w:rPr>
      </w:pPr>
    </w:p>
    <w:p>
      <w:pPr>
        <w:jc w:val="both"/>
        <w:ind w:firstLine="1"/>
        <w:spacing w:after="0" w:line="260" w:lineRule="auto"/>
        <w:rPr>
          <w:sz w:val="20"/>
          <w:szCs w:val="20"/>
          <w:color w:val="auto"/>
        </w:rPr>
      </w:pPr>
      <w:r>
        <w:rPr>
          <w:rFonts w:ascii="Arial" w:cs="Arial" w:eastAsia="Arial" w:hAnsi="Arial"/>
          <w:sz w:val="15"/>
          <w:szCs w:val="15"/>
          <w:color w:val="auto"/>
        </w:rPr>
        <w:t>In addition, under Section 382 and Section 383 of the Internal Revenue Code of 1986, as amended, or, the Code,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5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Catastrophic events may disrupt our business.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the event of a major hurricane or other serious weather event or catastrophic event such as fire, power loss, cyberattack, war, terrorist attack or epidemic or pandemic that impacts the facilities of any third parties on which we may rely, we may be unable to continue our 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could be adversely affected by the effects of health epidemics, including pandemics.</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business and operations could be adversely affected by the effects of health epidemics, as was recently experienced in connection with the COVID-19 virus, which was declared by the World Health Organization as a global pandemic.</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Remote work policies, quarantines, shelter-in-place and similar government orders, shutdowns or other restrictions on the conduct of business operations related to the pandemics or other health epidemics may negatively impact productivity. For instance, the COVID-19 pandemic disrupted our ongoing research and development activities and delayed certain of our clinical programs and timelines. In addition, although our employees are accustomed to working remotely, changes in internal controls due to remote work arrangements may result in control deficiencies in the preparation of our financial reports, which could be material. 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47"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Health epidemics may also affect the conduct of our clinical trials. We previously experienced temporary delays in enrollment due to the COVID-19 pandemic and in satisfying certain FDA requirements to move forward with the trial, which together resulted in a delay in our overall timelines for this trial. Our ongoing and future clinical trials may also be affected by future pandemics. Patient enrollment and clinical site initiation, while ongoing, may be delayed due to prioritization of hospital resources toward pandemics or other health emergencies, if they arise.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health epidemics, which would adversely impact clinical trial operations.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extent to which future pandemics impact our business and operations, including our clinical development and regulatory efforts, will depend on future developments that are highly uncertain and cannot be predicted with confidence, such as the continued geographic spread of the disease, the duration and effect of any future business disruptions in the United States and other countries to contain and</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4" w:orient="portrait"/>
          <w:cols w:equalWidth="0" w:num="1">
            <w:col w:w="10640"/>
          </w:cols>
          <w:pgMar w:left="620" w:top="1440" w:right="634" w:bottom="115"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treat patients with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 and may also have the effect of heightening many of the other risks and uncertainties described in this “Risk Factors” section.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political or economic conditions could adversely affect our business, financial condition or results of operations.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Our results of operations could be adversely affected by general conditions in the global economy and in the global financial markets.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 addition, military conflicts such as between Russia and Ukraine could disrupt or otherwise adversely impact our operations and those of third parties upon which we rely, although we have not experienced any such disruption to date. Related sanctions, export controls or other actions have been or may in the future be initiated by nations including the United States, the European Union or Russia (e.g., potential cyberattacks, disruption of energy flows, etc.), which could adversely affect our business and/or our supply chain, our CROs, CMOs and other third parties with whom we conduct business. Any of the foregoing could harm our business and we cannot anticipate all of the ways in which the current economic climate and financial market conditions could adversely impact our business.</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tax laws or regulations could materially adversely affect our company.</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New tax laws or regulations could be enacted at any time, and existing tax laws or regulations could be interpreted, modified or applied in a manner that is adverse to us, which could adversely affect our business and financial condition. For instance,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1C. CYBERSECURITY</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operate in the biotechnology sector,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such as the National Institute of Standards and Technology (“NIST”) Cybersecurity Framework. We expect the third-party vendors that provide our IT services to use various tools and methodologies to manage cybersecurity risk and to monitor and evaluate our cybersecurity posture and performance on an ongoing basis through regular vulnerability scans, penetration tests and threat intelligence feeds. We expect to require third-party service providers with access to personal, confidential or proprietary information to implement and maintain cybersecurity practices consistent with applicable legal standards and industry best practices.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4" w:orient="portrait"/>
          <w:cols w:equalWidth="0" w:num="1">
            <w:col w:w="10640"/>
          </w:cols>
          <w:pgMar w:left="620" w:top="1440" w:right="634" w:bottom="115"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may also result in a breach of our contractual obligations or legal duties to protect the privacy and confidentiality of our stakeholders. Such a breach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Cybersecurity Governance and Oversight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addresses our cybersecurity risk management as part of its general oversight function.</w:t>
      </w:r>
    </w:p>
    <w:p>
      <w:pPr>
        <w:spacing w:after="0" w:line="19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cybersecurity risk assessment and management processes are implemented and maintained by various members of our management team, third party service providers and other employees, who we believe have a combination of relevant expertise, experience, education and training.</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Certain members of our management team are responsible for hiring appropriate personnel and third-party IT service providers, helping to integrate cybersecurity risk considerations into our overall risk management strategy, communicating key priorities to relevant personnel, approving budgets, helping prepare for cybersecurity incidents, approving cybersecurity processes, and reviewing security assessments and other security-related reports.</w:t>
      </w:r>
    </w:p>
    <w:p>
      <w:pPr>
        <w:spacing w:after="0" w:line="137"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Our cybersecurity incident response processes are designed to escalate certain cybersecurity incidents to members of management depending on the circumstances, including in some cases to our executive team. Our cybersecurity incident management team, and other individuals as needed, work to help us mitigate and remediate cybersecurity incidents of which we are notified. In addition, our incident response processes include a procedure for reporting certain cybersecurity incidents to the board of directors.</w:t>
      </w:r>
    </w:p>
    <w:p>
      <w:pPr>
        <w:spacing w:after="0" w:line="10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board of directors receives regular reports from management concerning our cybersecurity risk management program. The board also receives various summaries and/or presentations related to cybersecurity threats, risks and mitigation.</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4" w:orient="portrait"/>
          <w:cols w:equalWidth="0" w:num="1">
            <w:col w:w="10640"/>
          </w:cols>
          <w:pgMar w:left="620" w:top="1440" w:right="634" w:bottom="115"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9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We do not own any real estate or other properties. We utilize office space at 2450 Holcombe Blvd, TMC Partners Office 1.311, Houston, TX 77021, which is also our principal business office.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96" w:lineRule="exact"/>
        <w:rPr>
          <w:sz w:val="20"/>
          <w:szCs w:val="20"/>
          <w:color w:val="auto"/>
        </w:rPr>
      </w:pPr>
    </w:p>
    <w:p>
      <w:pPr>
        <w:ind w:firstLine="1"/>
        <w:spacing w:after="0" w:line="299" w:lineRule="auto"/>
        <w:rPr>
          <w:sz w:val="20"/>
          <w:szCs w:val="20"/>
          <w:color w:val="auto"/>
        </w:rPr>
      </w:pPr>
      <w:r>
        <w:rPr>
          <w:rFonts w:ascii="Arial" w:cs="Arial" w:eastAsia="Arial" w:hAnsi="Arial"/>
          <w:sz w:val="15"/>
          <w:szCs w:val="15"/>
          <w:color w:val="auto"/>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Not Applicable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4" w:orient="portrait"/>
          <w:cols w:equalWidth="0" w:num="1">
            <w:col w:w="10640"/>
          </w:cols>
          <w:pgMar w:left="620" w:top="1440" w:right="634" w:bottom="115"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PART II</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common stock is listed for trading on the Nasdaq Capital Market under the symbol “MRKR”. As of March 16, 2026, we had 39 stockholders of record, whom are holding shares. The price of our common stock on March 16, 2026 was $1.41 per share.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No dividends have been declared or paid on our common stock. We have incurred recurring losses and do not currently intend to pay any cash dividends in the foreseeable future.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Repurchase Of Equity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did not repurchase any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[RESERVED]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following discussion of our financial condition, changes in financial condition, plan of operations and results of operations should be read in conjunction with (i) our audited consolidated financial statements as of December 31, 2025 and December 31, 2024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Overview</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4" w:orient="portrait"/>
          <w:cols w:equalWidth="0" w:num="1">
            <w:col w:w="10640"/>
          </w:cols>
          <w:pgMar w:left="620" w:top="1440" w:right="634" w:bottom="115"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We anticipate to continue to advance two product candidates for 3 clinical indications as part of our MAR-T cell program for:</w:t>
      </w:r>
    </w:p>
    <w:p>
      <w:pPr>
        <w:spacing w:after="0" w:line="194" w:lineRule="exact"/>
        <w:rPr>
          <w:sz w:val="20"/>
          <w:szCs w:val="20"/>
          <w:color w:val="auto"/>
        </w:rPr>
      </w:pPr>
    </w:p>
    <w:p>
      <w:pPr>
        <w:ind w:left="580" w:hanging="275"/>
        <w:spacing w:after="0"/>
        <w:tabs>
          <w:tab w:leader="none" w:pos="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Autologous MAR-T cell product for the treatment of lymphoma and pancreatic cancer (MT-601)</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Off-the-Shelf (“OTS”) product in various indications (e.g., MT-401-OTS in AML or MDS)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We do not genetically engineer our MAR-T cell therapies and we believe that our product candidates are superior to T cells engineered with chimeric antigen receptors, or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CAR-T, for several reasons including:</w:t>
      </w:r>
    </w:p>
    <w:p>
      <w:pPr>
        <w:spacing w:after="0" w:line="194" w:lineRule="exact"/>
        <w:rPr>
          <w:sz w:val="20"/>
          <w:szCs w:val="20"/>
          <w:color w:val="auto"/>
        </w:rPr>
      </w:pPr>
    </w:p>
    <w:p>
      <w:pPr>
        <w:ind w:left="580" w:hanging="275"/>
        <w:spacing w:after="0"/>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Multiple targets → enhanced tumoricidal effect→ minimized tumor immune escape</w:t>
      </w:r>
    </w:p>
    <w:p>
      <w:pPr>
        <w:spacing w:after="0" w:line="193" w:lineRule="exact"/>
        <w:rPr>
          <w:rFonts w:ascii="Arial" w:cs="Arial" w:eastAsia="Arial" w:hAnsi="Arial"/>
          <w:sz w:val="15"/>
          <w:szCs w:val="15"/>
          <w:color w:val="auto"/>
        </w:rPr>
      </w:pPr>
    </w:p>
    <w:p>
      <w:pPr>
        <w:ind w:left="580" w:hanging="276"/>
        <w:spacing w:after="0" w:line="299" w:lineRule="auto"/>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Clinical safety → no treatment-related side effects, including immune effector cell-associated neurotoxicity syndrome (ICANS) or other severe adverse effects (SAEs), were attributed to the use of MAR-T cell therapies to date</w:t>
      </w:r>
    </w:p>
    <w:p>
      <w:pPr>
        <w:spacing w:after="0" w:line="119"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Non-genetically engineered T cell products → selective expansion of tumor-specific T cells from a patient’s or donor’s blood capable of recognizing a broad range of tumor antigens→ no risk of mutagenesis and reduced manufacturing complexity →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87630</wp:posOffset>
            </wp:positionV>
            <wp:extent cx="4792980" cy="1169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4792980" cy="116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For these reasons, we believe our endogenous T cell receptor-based therapies may provide meaningful clinical benefit and safety to patients with both hematological and solid tumors.</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believe that the simplicity of our manufacturing process allows additional modifications to expand MAR-T cell recognition of cancer targets. For example, we are assessing the potential of combining MAR-T cell products with other products.</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August 2025, we issued a press release providing an update on the progress and clinical observations from the Phase 1 APOLLO study, with a data cutoff date of June 2025. Our Phase 1 APOLLO study is investigating MT-601, a MAR-T cell product, in patients with lymphoma who have relapsed after anti-CD19 chimeric antigen receptor (CAR) T cell therapy or for whom anti-CD19 CAR-T cells are not an option. In this update, clinical data was available for a total of 24 B-cell lymphoma patients from 7 clinical sites across the United States, including 15 patients with Non-Hodgkin Lymphoma (“NHL”) and 9 patients with Hodgkin Lymphoma (“HL”). At the time of the data cutoff, 12 NHL and 9 HL patients have been assessed. Study participants showed objective responses and a favorable safety profile with and without lymphodepletion.</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4" w:orient="portrait"/>
          <w:cols w:equalWidth="0" w:num="1">
            <w:col w:w="10640"/>
          </w:cols>
          <w:pgMar w:left="620" w:top="1440" w:right="634" w:bottom="115"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Pipeline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Our clinical-stage pipeline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1079500</wp:posOffset>
            </wp:positionH>
            <wp:positionV relativeFrom="paragraph">
              <wp:posOffset>135255</wp:posOffset>
            </wp:positionV>
            <wp:extent cx="4603750" cy="2287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4603750" cy="228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Manufacturin</w:t>
      </w:r>
      <w:r>
        <w:rPr>
          <w:rFonts w:ascii="Arial" w:cs="Arial" w:eastAsia="Arial" w:hAnsi="Arial"/>
          <w:sz w:val="15"/>
          <w:szCs w:val="15"/>
          <w:b w:val="1"/>
          <w:bCs w:val="1"/>
          <w:color w:val="auto"/>
        </w:rPr>
        <w:t>g</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Mr. John Wilson, is a contract development and manufacturing organization (CDMO). The MSA contains customary representations, warranties and indemnification provision. The initial term of the MSA is three years and may be extended upon the mutual written agreement of the parties. On March 27, 2025, we mutually agreed with Cell Ready to terminate the MSA. In connection therewith, we and Cell Ready entered into a settlement and release agreement pursuant to which we paid Cell Ready approximately $453,000 and we and Cell Ready provided one another mutual releases of all claims associated with any and all agreements between Marker and Cell Ready.</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Additionally, BCM continues to supply us with products, as we continue our clinical trials. Furthermore, in anticipation of the commencement of our larger pivotal trial for Lymphoma in 2026, as well as the eventual need for commercial scale production, we intend to evaluate and qualify additional potential third-party manufacturing partners to provide potential multiple sources of clinical and commercial supply. We currently are in discussions with a number of CDMO candidates and anticipate that we will select a partner organization and commence the qualification and technology transfer process later this year.</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 See “Risk Factors”.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4" w:orient="portrait"/>
          <w:cols w:equalWidth="0" w:num="1">
            <w:col w:w="10640"/>
          </w:cols>
          <w:pgMar w:left="620" w:top="1440" w:right="634" w:bottom="115"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Recent Developments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June 16, 2025, Company entered into a Statement of Work (the “SOW”) with Cellipont Bioservices, a leading cell therapy Contract Development and Manufacturing Organization (“CDMO”), for the manufacturing of MT-601, the Company’s lead MAR-T cell product candidate. Pursuant to the SOW, Cellipont will provide technology transfer and cGMP manufacturing services to support the scale-up and production of MT-601 for the Company’s APOLLO study.</w:t>
      </w:r>
    </w:p>
    <w:p>
      <w:pPr>
        <w:spacing w:after="0" w:line="137"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Between July 17 and 21, 2025, the Company sold 1,624,075 shares of common stock pursuant to our ATM Agreement, with H.C. Wainwright &amp; Co. LLC, for net proceeds of $4.5 million, after deducting agent commissions, at an average price per share of $2.87 per share.</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August 26, 2025, the Company sold 3,734,217 shares of common stock pursuant to the ATM Agreement with H.C. Wainwright &amp; Co., LLC for net proceeds of $5.4 million, after deducting agent commissions, at an average price of $1.48 per share.</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October 6, 2025, the Company announced that the first patient has been treated in the Off-the-Shelf (“OTS”) program, with encouraging preliminary safety data. The OTS program has the potential to provide a fast treatment option for patients with rapidly progressing diseases. The OTS product will be initially investigated in patients with acute myeloid leukemia (“AML”) or myelodysplastic syndromes (“MDS”), with the potential to be expanded to other indications.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Effective November 1, 2025, Kathryn Penkus Corzo joined the Company’s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Overview</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research and development expenses are primarily costs associated with our clinical trials, including compensation, share-based compensation expense and benefits for employees and selected consultants, manufacturing expenses and fees paid to third parties.</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Clinical costs are expensed as incurred. Costs and timing of clinical trials and development of our product candidates will depend on a variety of factors that include, but are not limited to, the following:</w:t>
      </w:r>
    </w:p>
    <w:p>
      <w:pPr>
        <w:spacing w:after="0" w:line="119" w:lineRule="exact"/>
        <w:rPr>
          <w:sz w:val="20"/>
          <w:szCs w:val="20"/>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per patient clinical trial costs;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number of patients that participate in the clinical trials;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number of sites included in the clinical trials;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length of time required to enroll eligible patients;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number of doses that patients receive;</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drop-out or discontinuation rates of patients;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potential additional safety monitoring or other studies requested by regulatory agencies;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duration of patient follow-up;</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efficacy and safety profile of the product candidates; and</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ability to successfully manufacture patient doses.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4" w:orient="portrait"/>
          <w:cols w:equalWidth="0" w:num="1">
            <w:col w:w="10640"/>
          </w:cols>
          <w:pgMar w:left="620" w:top="1440" w:right="634" w:bottom="115" w:gutter="0" w:footer="0" w:header="0"/>
          <w:type w:val="continuous"/>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clinical trial costs will continue to increase over the next several years due to increased spending on the clinical development and manufacturing of our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General and administrative expenses consist primarily of personnel costs, including share-based compensation, legal fees relating to patent and corporate matters, insurance costs, consulting and professional fees, audit and investor relations.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We recognized ($15,156) and $49,953 in state tax (benefit) expense for the years ended December 31, 2025 and 2024,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net consists of interest income.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 for the Years Ended December 31, 2025 and 2024</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following table summarizes the results of our continuing operations (rounded to the thousands except for per share amounts) for the years ended December 31, 2025 and 2024, together with the changes to those items: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6"/>
          </w:tcPr>
          <w:p>
            <w:pPr>
              <w:ind w:left="520"/>
              <w:spacing w:after="0"/>
              <w:rPr>
                <w:sz w:val="20"/>
                <w:szCs w:val="20"/>
                <w:color w:val="auto"/>
              </w:rPr>
            </w:pPr>
            <w:r>
              <w:rPr>
                <w:rFonts w:ascii="Arial" w:cs="Arial" w:eastAsia="Arial" w:hAnsi="Arial"/>
                <w:sz w:val="12"/>
                <w:szCs w:val="12"/>
                <w:b w:val="1"/>
                <w:bCs w:val="1"/>
                <w:color w:val="auto"/>
              </w:rPr>
              <w:t>For the Years Ended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2"/>
                <w:szCs w:val="12"/>
                <w:b w:val="1"/>
                <w:bCs w:val="1"/>
                <w:color w:val="auto"/>
              </w:rPr>
              <w:t>December 31,</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vMerge w:val="restart"/>
          </w:tcPr>
          <w:p>
            <w:pPr>
              <w:ind w:left="700"/>
              <w:spacing w:after="0"/>
              <w:rPr>
                <w:sz w:val="20"/>
                <w:szCs w:val="20"/>
                <w:color w:val="auto"/>
              </w:rPr>
            </w:pPr>
            <w:r>
              <w:rPr>
                <w:rFonts w:ascii="Arial" w:cs="Arial" w:eastAsia="Arial" w:hAnsi="Arial"/>
                <w:sz w:val="12"/>
                <w:szCs w:val="12"/>
                <w:b w:val="1"/>
                <w:bCs w:val="1"/>
                <w:color w:val="auto"/>
              </w:rPr>
              <w:t>Change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00" w:type="dxa"/>
            <w:vAlign w:val="bottom"/>
            <w:tcBorders>
              <w:bottom w:val="single" w:sz="8" w:color="D2EEF5"/>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7"/>
              <w:spacing w:after="0" w:line="117" w:lineRule="exact"/>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D2EEF5"/>
            </w:tcBorders>
          </w:tcPr>
          <w:p>
            <w:pPr>
              <w:spacing w:after="0"/>
              <w:rPr>
                <w:sz w:val="10"/>
                <w:szCs w:val="10"/>
                <w:color w:val="auto"/>
              </w:rPr>
            </w:pPr>
          </w:p>
        </w:tc>
        <w:tc>
          <w:tcPr>
            <w:tcW w:w="100" w:type="dxa"/>
            <w:vAlign w:val="bottom"/>
            <w:tcBorders>
              <w:bottom w:val="single" w:sz="8" w:color="D2EEF5"/>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85"/>
              <w:spacing w:after="0" w:line="117" w:lineRule="exact"/>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D2EEF5"/>
            </w:tcBorders>
          </w:tcPr>
          <w:p>
            <w:pPr>
              <w:spacing w:after="0"/>
              <w:rPr>
                <w:sz w:val="10"/>
                <w:szCs w:val="10"/>
                <w:color w:val="auto"/>
              </w:rPr>
            </w:pPr>
          </w:p>
        </w:tc>
        <w:tc>
          <w:tcPr>
            <w:tcW w:w="100" w:type="dxa"/>
            <w:vAlign w:val="bottom"/>
            <w:tcBorders>
              <w:bottom w:val="single" w:sz="8" w:color="D2EEF5"/>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D2EEF5"/>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40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Revenues:</w:t>
            </w:r>
          </w:p>
        </w:tc>
        <w:tc>
          <w:tcPr>
            <w:tcW w:w="220" w:type="dxa"/>
            <w:vAlign w:val="bottom"/>
            <w:shd w:val="clear" w:color="auto" w:fill="D2EEF5"/>
          </w:tcPr>
          <w:p>
            <w:pPr>
              <w:spacing w:after="0"/>
              <w:rPr>
                <w:sz w:val="15"/>
                <w:szCs w:val="15"/>
                <w:color w:val="auto"/>
              </w:rPr>
            </w:pPr>
          </w:p>
        </w:tc>
        <w:tc>
          <w:tcPr>
            <w:tcW w:w="9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380" w:type="dxa"/>
            <w:vAlign w:val="bottom"/>
            <w:shd w:val="clear" w:color="auto" w:fill="D2EEF5"/>
          </w:tcPr>
          <w:p>
            <w:pPr>
              <w:spacing w:after="0"/>
              <w:rPr>
                <w:sz w:val="15"/>
                <w:szCs w:val="15"/>
                <w:color w:val="auto"/>
              </w:rPr>
            </w:pPr>
          </w:p>
        </w:tc>
        <w:tc>
          <w:tcPr>
            <w:tcW w:w="62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100"/>
              <w:spacing w:after="0"/>
              <w:rPr>
                <w:sz w:val="20"/>
                <w:szCs w:val="20"/>
                <w:color w:val="auto"/>
              </w:rPr>
            </w:pPr>
            <w:r>
              <w:rPr>
                <w:rFonts w:ascii="Arial" w:cs="Arial" w:eastAsia="Arial" w:hAnsi="Arial"/>
                <w:sz w:val="15"/>
                <w:szCs w:val="15"/>
                <w:color w:val="auto"/>
              </w:rPr>
              <w:t>Grant income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3,546,669</w:t>
            </w:r>
          </w:p>
        </w:tc>
        <w:tc>
          <w:tcPr>
            <w:tcW w:w="80" w:type="dxa"/>
            <w:vAlign w:val="bottom"/>
          </w:tcPr>
          <w:p>
            <w:pPr>
              <w:spacing w:after="0"/>
              <w:rPr>
                <w:sz w:val="15"/>
                <w:szCs w:val="15"/>
                <w:color w:val="auto"/>
              </w:rPr>
            </w:pPr>
          </w:p>
        </w:tc>
        <w:tc>
          <w:tcPr>
            <w:tcW w:w="4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6,591,080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(3,044,411)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ind w:right="4"/>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74"/>
        </w:trPr>
        <w:tc>
          <w:tcPr>
            <w:tcW w:w="54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Total revenues</w:t>
            </w:r>
          </w:p>
        </w:tc>
        <w:tc>
          <w:tcPr>
            <w:tcW w:w="220" w:type="dxa"/>
            <w:vAlign w:val="bottom"/>
            <w:tcBorders>
              <w:top w:val="single" w:sz="8" w:color="auto"/>
              <w:bottom w:val="single" w:sz="8" w:color="auto"/>
            </w:tcBorders>
            <w:shd w:val="clear" w:color="auto" w:fill="D2EEF5"/>
          </w:tcPr>
          <w:p>
            <w:pPr>
              <w:spacing w:after="0"/>
              <w:rPr>
                <w:sz w:val="15"/>
                <w:szCs w:val="15"/>
                <w:color w:val="auto"/>
              </w:rPr>
            </w:pPr>
          </w:p>
        </w:tc>
        <w:tc>
          <w:tcPr>
            <w:tcW w:w="9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3,546,669</w:t>
            </w:r>
          </w:p>
        </w:tc>
        <w:tc>
          <w:tcPr>
            <w:tcW w:w="8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spacing w:after="0"/>
              <w:rPr>
                <w:sz w:val="15"/>
                <w:szCs w:val="15"/>
                <w:color w:val="auto"/>
              </w:rPr>
            </w:pPr>
          </w:p>
        </w:tc>
        <w:tc>
          <w:tcPr>
            <w:tcW w:w="320" w:type="dxa"/>
            <w:vAlign w:val="bottom"/>
            <w:tcBorders>
              <w:top w:val="single" w:sz="8" w:color="auto"/>
              <w:bottom w:val="single" w:sz="8" w:color="auto"/>
            </w:tcBorders>
            <w:shd w:val="clear" w:color="auto" w:fill="D2EEF5"/>
          </w:tcPr>
          <w:p>
            <w:pPr>
              <w:spacing w:after="0"/>
              <w:rPr>
                <w:sz w:val="15"/>
                <w:szCs w:val="15"/>
                <w:color w:val="auto"/>
              </w:rPr>
            </w:pP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6,591,080</w:t>
            </w:r>
          </w:p>
        </w:tc>
        <w:tc>
          <w:tcPr>
            <w:tcW w:w="10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D2EEF5"/>
            </w:tcBorders>
            <w:shd w:val="clear" w:color="auto" w:fill="D2EEF5"/>
          </w:tcPr>
          <w:p>
            <w:pPr>
              <w:spacing w:after="0"/>
              <w:rPr>
                <w:sz w:val="15"/>
                <w:szCs w:val="15"/>
                <w:color w:val="auto"/>
              </w:rPr>
            </w:pPr>
          </w:p>
        </w:tc>
        <w:tc>
          <w:tcPr>
            <w:tcW w:w="240" w:type="dxa"/>
            <w:vAlign w:val="bottom"/>
            <w:tcBorders>
              <w:top w:val="single" w:sz="8" w:color="auto"/>
              <w:bottom w:val="single" w:sz="8" w:color="auto"/>
            </w:tcBorders>
            <w:shd w:val="clear" w:color="auto" w:fill="D2EEF5"/>
          </w:tcPr>
          <w:p>
            <w:pPr>
              <w:spacing w:after="0"/>
              <w:rPr>
                <w:sz w:val="15"/>
                <w:szCs w:val="15"/>
                <w:color w:val="auto"/>
              </w:rPr>
            </w:pP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(3,044,411)</w:t>
            </w:r>
          </w:p>
        </w:tc>
        <w:tc>
          <w:tcPr>
            <w:tcW w:w="200" w:type="dxa"/>
            <w:vAlign w:val="bottom"/>
            <w:tcBorders>
              <w:top w:val="single" w:sz="8" w:color="D2EEF5"/>
            </w:tcBorders>
            <w:shd w:val="clear" w:color="auto" w:fill="D2EEF5"/>
          </w:tcPr>
          <w:p>
            <w:pPr>
              <w:spacing w:after="0"/>
              <w:rPr>
                <w:sz w:val="15"/>
                <w:szCs w:val="15"/>
                <w:color w:val="auto"/>
              </w:rPr>
            </w:pPr>
          </w:p>
        </w:tc>
        <w:tc>
          <w:tcPr>
            <w:tcW w:w="380" w:type="dxa"/>
            <w:vAlign w:val="bottom"/>
            <w:tcBorders>
              <w:top w:val="single" w:sz="8" w:color="auto"/>
              <w:bottom w:val="single" w:sz="8" w:color="auto"/>
            </w:tcBorders>
            <w:shd w:val="clear" w:color="auto" w:fill="D2EEF5"/>
          </w:tcPr>
          <w:p>
            <w:pPr>
              <w:spacing w:after="0"/>
              <w:rPr>
                <w:sz w:val="15"/>
                <w:szCs w:val="15"/>
                <w:color w:val="auto"/>
              </w:rPr>
            </w:pPr>
          </w:p>
        </w:tc>
        <w:tc>
          <w:tcPr>
            <w:tcW w:w="6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(46)</w:t>
            </w:r>
          </w:p>
        </w:tc>
        <w:tc>
          <w:tcPr>
            <w:tcW w:w="2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400" w:type="dxa"/>
            <w:vAlign w:val="bottom"/>
          </w:tcPr>
          <w:p>
            <w:pPr>
              <w:spacing w:after="0"/>
              <w:rPr>
                <w:sz w:val="20"/>
                <w:szCs w:val="20"/>
                <w:color w:val="auto"/>
              </w:rPr>
            </w:pPr>
            <w:r>
              <w:rPr>
                <w:rFonts w:ascii="Arial" w:cs="Arial" w:eastAsia="Arial" w:hAnsi="Arial"/>
                <w:sz w:val="15"/>
                <w:szCs w:val="15"/>
                <w:b w:val="1"/>
                <w:bCs w:val="1"/>
                <w:color w:val="auto"/>
              </w:rPr>
              <w:t>Operating expenses: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D2EEF5"/>
          </w:tcPr>
          <w:p>
            <w:pPr>
              <w:ind w:left="100"/>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D2EEF5"/>
          </w:tcPr>
          <w:p>
            <w:pPr>
              <w:spacing w:after="0"/>
              <w:rPr>
                <w:sz w:val="15"/>
                <w:szCs w:val="15"/>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11,799,154</w:t>
            </w:r>
          </w:p>
        </w:tc>
        <w:tc>
          <w:tcPr>
            <w:tcW w:w="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13,467,845</w:t>
            </w:r>
          </w:p>
        </w:tc>
        <w:tc>
          <w:tcPr>
            <w:tcW w:w="1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(1,668,691)</w:t>
            </w:r>
          </w:p>
        </w:tc>
        <w:tc>
          <w:tcPr>
            <w:tcW w:w="200" w:type="dxa"/>
            <w:vAlign w:val="bottom"/>
            <w:shd w:val="clear" w:color="auto" w:fill="D2EEF5"/>
          </w:tcPr>
          <w:p>
            <w:pPr>
              <w:spacing w:after="0"/>
              <w:rPr>
                <w:sz w:val="15"/>
                <w:szCs w:val="15"/>
                <w:color w:val="auto"/>
              </w:rPr>
            </w:pPr>
          </w:p>
        </w:tc>
        <w:tc>
          <w:tcPr>
            <w:tcW w:w="380" w:type="dxa"/>
            <w:vAlign w:val="bottom"/>
            <w:shd w:val="clear" w:color="auto" w:fill="D2EEF5"/>
          </w:tcPr>
          <w:p>
            <w:pPr>
              <w:spacing w:after="0"/>
              <w:rPr>
                <w:sz w:val="15"/>
                <w:szCs w:val="15"/>
                <w:color w:val="auto"/>
              </w:rPr>
            </w:pPr>
          </w:p>
        </w:tc>
        <w:tc>
          <w:tcPr>
            <w:tcW w:w="820" w:type="dxa"/>
            <w:vAlign w:val="bottom"/>
            <w:gridSpan w:val="2"/>
            <w:shd w:val="clear" w:color="auto" w:fill="D2EEF5"/>
          </w:tcPr>
          <w:p>
            <w:pPr>
              <w:jc w:val="right"/>
              <w:ind w:right="4"/>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3"/>
        </w:trPr>
        <w:tc>
          <w:tcPr>
            <w:tcW w:w="5400" w:type="dxa"/>
            <w:vAlign w:val="bottom"/>
          </w:tcPr>
          <w:p>
            <w:pPr>
              <w:ind w:left="10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4,184,806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4,241,607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(56,801)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ind w:right="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3"/>
        </w:trPr>
        <w:tc>
          <w:tcPr>
            <w:tcW w:w="5400" w:type="dxa"/>
            <w:vAlign w:val="bottom"/>
            <w:shd w:val="clear" w:color="auto" w:fill="D2EEF5"/>
          </w:tcPr>
          <w:p>
            <w:pPr>
              <w:ind w:left="100"/>
              <w:spacing w:after="0"/>
              <w:rPr>
                <w:sz w:val="20"/>
                <w:szCs w:val="20"/>
                <w:color w:val="auto"/>
              </w:rPr>
            </w:pPr>
            <w:r>
              <w:rPr>
                <w:rFonts w:ascii="Arial" w:cs="Arial" w:eastAsia="Arial" w:hAnsi="Arial"/>
                <w:sz w:val="15"/>
                <w:szCs w:val="15"/>
                <w:color w:val="auto"/>
              </w:rPr>
              <w:t>Loss on early termination of vendor agreement</w:t>
            </w:r>
          </w:p>
        </w:tc>
        <w:tc>
          <w:tcPr>
            <w:tcW w:w="220" w:type="dxa"/>
            <w:vAlign w:val="bottom"/>
            <w:shd w:val="clear" w:color="auto" w:fill="D2EEF5"/>
          </w:tcPr>
          <w:p>
            <w:pPr>
              <w:spacing w:after="0"/>
              <w:rPr>
                <w:sz w:val="15"/>
                <w:szCs w:val="15"/>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453,135</w:t>
            </w:r>
          </w:p>
        </w:tc>
        <w:tc>
          <w:tcPr>
            <w:tcW w:w="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960" w:type="dxa"/>
            <w:vAlign w:val="bottom"/>
            <w:gridSpan w:val="2"/>
            <w:shd w:val="clear" w:color="auto" w:fill="D2EEF5"/>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453,135</w:t>
            </w:r>
          </w:p>
        </w:tc>
        <w:tc>
          <w:tcPr>
            <w:tcW w:w="200" w:type="dxa"/>
            <w:vAlign w:val="bottom"/>
            <w:shd w:val="clear" w:color="auto" w:fill="D2EEF5"/>
          </w:tcPr>
          <w:p>
            <w:pPr>
              <w:spacing w:after="0"/>
              <w:rPr>
                <w:sz w:val="15"/>
                <w:szCs w:val="15"/>
                <w:color w:val="auto"/>
              </w:rPr>
            </w:pPr>
          </w:p>
        </w:tc>
        <w:tc>
          <w:tcPr>
            <w:tcW w:w="380" w:type="dxa"/>
            <w:vAlign w:val="bottom"/>
            <w:shd w:val="clear" w:color="auto" w:fill="D2EEF5"/>
          </w:tcPr>
          <w:p>
            <w:pPr>
              <w:spacing w:after="0"/>
              <w:rPr>
                <w:sz w:val="15"/>
                <w:szCs w:val="15"/>
                <w:color w:val="auto"/>
              </w:rPr>
            </w:pPr>
          </w:p>
        </w:tc>
        <w:tc>
          <w:tcPr>
            <w:tcW w:w="820" w:type="dxa"/>
            <w:vAlign w:val="bottom"/>
            <w:gridSpan w:val="2"/>
            <w:shd w:val="clear" w:color="auto" w:fill="D2EEF5"/>
          </w:tcPr>
          <w:p>
            <w:pPr>
              <w:jc w:val="right"/>
              <w:ind w:right="164"/>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4"/>
        </w:trPr>
        <w:tc>
          <w:tcPr>
            <w:tcW w:w="540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16,437,095</w:t>
            </w:r>
          </w:p>
        </w:tc>
        <w:tc>
          <w:tcPr>
            <w:tcW w:w="80" w:type="dxa"/>
            <w:vAlign w:val="bottom"/>
            <w:tcBorders>
              <w:bottom w:val="single" w:sz="8" w:color="D2EEF5"/>
            </w:tcBorders>
          </w:tcPr>
          <w:p>
            <w:pPr>
              <w:spacing w:after="0"/>
              <w:rPr>
                <w:sz w:val="15"/>
                <w:szCs w:val="15"/>
                <w:color w:val="auto"/>
              </w:rPr>
            </w:pPr>
          </w:p>
        </w:tc>
        <w:tc>
          <w:tcPr>
            <w:tcW w:w="100" w:type="dxa"/>
            <w:vAlign w:val="bottom"/>
            <w:tcBorders>
              <w:bottom w:val="single" w:sz="8" w:color="D2EEF5"/>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17,709,452</w:t>
            </w:r>
          </w:p>
        </w:tc>
        <w:tc>
          <w:tcPr>
            <w:tcW w:w="100" w:type="dxa"/>
            <w:vAlign w:val="bottom"/>
            <w:tcBorders>
              <w:bottom w:val="single" w:sz="8" w:color="D2EEF5"/>
            </w:tcBorders>
          </w:tcPr>
          <w:p>
            <w:pPr>
              <w:spacing w:after="0"/>
              <w:rPr>
                <w:sz w:val="15"/>
                <w:szCs w:val="15"/>
                <w:color w:val="auto"/>
              </w:rPr>
            </w:pPr>
          </w:p>
        </w:tc>
        <w:tc>
          <w:tcPr>
            <w:tcW w:w="100" w:type="dxa"/>
            <w:vAlign w:val="bottom"/>
            <w:tcBorders>
              <w:bottom w:val="single" w:sz="8" w:color="D2EEF5"/>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(1,272,357)</w:t>
            </w:r>
          </w:p>
        </w:tc>
        <w:tc>
          <w:tcPr>
            <w:tcW w:w="200" w:type="dxa"/>
            <w:vAlign w:val="bottom"/>
            <w:tcBorders>
              <w:bottom w:val="single" w:sz="8" w:color="D2EEF5"/>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20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400" w:type="dxa"/>
            <w:vAlign w:val="bottom"/>
            <w:shd w:val="clear" w:color="auto" w:fill="D2EEF5"/>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shd w:val="clear" w:color="auto" w:fill="D2EEF5"/>
          </w:tcPr>
          <w:p>
            <w:pPr>
              <w:spacing w:after="0"/>
              <w:rPr>
                <w:sz w:val="15"/>
                <w:szCs w:val="15"/>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(12,890,426)</w:t>
            </w:r>
          </w:p>
        </w:tc>
        <w:tc>
          <w:tcPr>
            <w:tcW w:w="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w w:val="98"/>
              </w:rPr>
              <w:t>(11,118,372)</w:t>
            </w:r>
          </w:p>
        </w:tc>
        <w:tc>
          <w:tcPr>
            <w:tcW w:w="1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(1,772,054)</w:t>
            </w:r>
          </w:p>
        </w:tc>
        <w:tc>
          <w:tcPr>
            <w:tcW w:w="200" w:type="dxa"/>
            <w:vAlign w:val="bottom"/>
            <w:shd w:val="clear" w:color="auto" w:fill="D2EEF5"/>
          </w:tcPr>
          <w:p>
            <w:pPr>
              <w:spacing w:after="0"/>
              <w:rPr>
                <w:sz w:val="15"/>
                <w:szCs w:val="15"/>
                <w:color w:val="auto"/>
              </w:rPr>
            </w:pPr>
          </w:p>
        </w:tc>
        <w:tc>
          <w:tcPr>
            <w:tcW w:w="380" w:type="dxa"/>
            <w:vAlign w:val="bottom"/>
            <w:shd w:val="clear" w:color="auto" w:fill="D2EEF5"/>
          </w:tcPr>
          <w:p>
            <w:pPr>
              <w:spacing w:after="0"/>
              <w:rPr>
                <w:sz w:val="15"/>
                <w:szCs w:val="15"/>
                <w:color w:val="auto"/>
              </w:rPr>
            </w:pPr>
          </w:p>
        </w:tc>
        <w:tc>
          <w:tcPr>
            <w:tcW w:w="6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w:t>
            </w:r>
          </w:p>
        </w:tc>
        <w:tc>
          <w:tcPr>
            <w:tcW w:w="200" w:type="dxa"/>
            <w:vAlign w:val="bottom"/>
            <w:shd w:val="clear" w:color="auto" w:fill="D2EEF5"/>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20"/>
                <w:szCs w:val="20"/>
                <w:color w:val="auto"/>
              </w:rPr>
            </w:pPr>
            <w:r>
              <w:rPr>
                <w:rFonts w:ascii="Arial" w:cs="Arial" w:eastAsia="Arial" w:hAnsi="Arial"/>
                <w:sz w:val="15"/>
                <w:szCs w:val="15"/>
                <w:b w:val="1"/>
                <w:bCs w:val="1"/>
                <w:color w:val="auto"/>
              </w:rPr>
              <w:t>Other income (expenses):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D2EEF5"/>
          </w:tcPr>
          <w:p>
            <w:pPr>
              <w:ind w:left="100"/>
              <w:spacing w:after="0"/>
              <w:rPr>
                <w:sz w:val="20"/>
                <w:szCs w:val="20"/>
                <w:color w:val="auto"/>
              </w:rPr>
            </w:pPr>
            <w:r>
              <w:rPr>
                <w:rFonts w:ascii="Arial" w:cs="Arial" w:eastAsia="Arial" w:hAnsi="Arial"/>
                <w:sz w:val="15"/>
                <w:szCs w:val="15"/>
                <w:color w:val="auto"/>
              </w:rPr>
              <w:t>Interest income</w:t>
            </w:r>
          </w:p>
        </w:tc>
        <w:tc>
          <w:tcPr>
            <w:tcW w:w="220" w:type="dxa"/>
            <w:vAlign w:val="bottom"/>
            <w:shd w:val="clear" w:color="auto" w:fill="D2EEF5"/>
          </w:tcPr>
          <w:p>
            <w:pPr>
              <w:spacing w:after="0"/>
              <w:rPr>
                <w:sz w:val="15"/>
                <w:szCs w:val="15"/>
                <w:color w:val="auto"/>
              </w:rPr>
            </w:pPr>
          </w:p>
        </w:tc>
        <w:tc>
          <w:tcPr>
            <w:tcW w:w="9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594,206</w:t>
            </w:r>
          </w:p>
        </w:tc>
        <w:tc>
          <w:tcPr>
            <w:tcW w:w="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32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437,010</w:t>
            </w:r>
          </w:p>
        </w:tc>
        <w:tc>
          <w:tcPr>
            <w:tcW w:w="1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157,196</w:t>
            </w:r>
          </w:p>
        </w:tc>
        <w:tc>
          <w:tcPr>
            <w:tcW w:w="200" w:type="dxa"/>
            <w:vAlign w:val="bottom"/>
            <w:shd w:val="clear" w:color="auto" w:fill="D2EEF5"/>
          </w:tcPr>
          <w:p>
            <w:pPr>
              <w:spacing w:after="0"/>
              <w:rPr>
                <w:sz w:val="15"/>
                <w:szCs w:val="15"/>
                <w:color w:val="auto"/>
              </w:rPr>
            </w:pPr>
          </w:p>
        </w:tc>
        <w:tc>
          <w:tcPr>
            <w:tcW w:w="380" w:type="dxa"/>
            <w:vAlign w:val="bottom"/>
            <w:shd w:val="clear" w:color="auto" w:fill="D2EEF5"/>
          </w:tcPr>
          <w:p>
            <w:pPr>
              <w:spacing w:after="0"/>
              <w:rPr>
                <w:sz w:val="15"/>
                <w:szCs w:val="15"/>
                <w:color w:val="auto"/>
              </w:rPr>
            </w:pPr>
          </w:p>
        </w:tc>
        <w:tc>
          <w:tcPr>
            <w:tcW w:w="820" w:type="dxa"/>
            <w:vAlign w:val="bottom"/>
            <w:gridSpan w:val="2"/>
            <w:shd w:val="clear" w:color="auto" w:fill="D2EEF5"/>
          </w:tcPr>
          <w:p>
            <w:pPr>
              <w:jc w:val="right"/>
              <w:ind w:right="4"/>
              <w:spacing w:after="0"/>
              <w:rPr>
                <w:sz w:val="20"/>
                <w:szCs w:val="20"/>
                <w:color w:val="auto"/>
              </w:rPr>
            </w:pPr>
            <w:r>
              <w:rPr>
                <w:rFonts w:ascii="Arial" w:cs="Arial" w:eastAsia="Arial" w:hAnsi="Arial"/>
                <w:sz w:val="15"/>
                <w:szCs w:val="15"/>
                <w:color w:val="auto"/>
              </w:rPr>
              <w:t>36 %</w:t>
            </w:r>
          </w:p>
        </w:tc>
        <w:tc>
          <w:tcPr>
            <w:tcW w:w="0" w:type="dxa"/>
            <w:vAlign w:val="bottom"/>
          </w:tcPr>
          <w:p>
            <w:pPr>
              <w:spacing w:after="0"/>
              <w:rPr>
                <w:sz w:val="1"/>
                <w:szCs w:val="1"/>
                <w:color w:val="auto"/>
              </w:rPr>
            </w:pPr>
          </w:p>
        </w:tc>
      </w:tr>
      <w:tr>
        <w:trPr>
          <w:trHeight w:val="183"/>
        </w:trPr>
        <w:tc>
          <w:tcPr>
            <w:tcW w:w="5400" w:type="dxa"/>
            <w:vAlign w:val="bottom"/>
          </w:tcPr>
          <w:p>
            <w:pPr>
              <w:ind w:left="100"/>
              <w:spacing w:after="0"/>
              <w:rPr>
                <w:sz w:val="20"/>
                <w:szCs w:val="20"/>
                <w:color w:val="auto"/>
              </w:rPr>
            </w:pPr>
            <w:r>
              <w:rPr>
                <w:rFonts w:ascii="Arial" w:cs="Arial" w:eastAsia="Arial" w:hAnsi="Arial"/>
                <w:sz w:val="15"/>
                <w:szCs w:val="15"/>
                <w:color w:val="auto"/>
              </w:rPr>
              <w:t>Other income</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117,444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117,444</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ind w:right="164"/>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4"/>
        </w:trPr>
        <w:tc>
          <w:tcPr>
            <w:tcW w:w="5400" w:type="dxa"/>
            <w:vAlign w:val="bottom"/>
            <w:tcBorders>
              <w:top w:val="single" w:sz="8" w:color="D2EEF5"/>
              <w:bottom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Loss from operations before income taxes</w:t>
            </w:r>
          </w:p>
        </w:tc>
        <w:tc>
          <w:tcPr>
            <w:tcW w:w="220" w:type="dxa"/>
            <w:vAlign w:val="bottom"/>
            <w:tcBorders>
              <w:top w:val="single" w:sz="8" w:color="auto"/>
              <w:bottom w:val="single" w:sz="8" w:color="auto"/>
            </w:tcBorders>
            <w:shd w:val="clear" w:color="auto" w:fill="D2EEF5"/>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(12,178,776)</w:t>
            </w:r>
          </w:p>
        </w:tc>
        <w:tc>
          <w:tcPr>
            <w:tcW w:w="80" w:type="dxa"/>
            <w:vAlign w:val="bottom"/>
            <w:tcBorders>
              <w:top w:val="single" w:sz="8" w:color="D2EEF5"/>
              <w:bottom w:val="single" w:sz="8" w:color="D2EEF5"/>
            </w:tcBorders>
            <w:shd w:val="clear" w:color="auto" w:fill="D2EEF5"/>
          </w:tcPr>
          <w:p>
            <w:pPr>
              <w:spacing w:after="0"/>
              <w:rPr>
                <w:sz w:val="15"/>
                <w:szCs w:val="15"/>
                <w:color w:val="auto"/>
              </w:rPr>
            </w:pPr>
          </w:p>
        </w:tc>
        <w:tc>
          <w:tcPr>
            <w:tcW w:w="100" w:type="dxa"/>
            <w:vAlign w:val="bottom"/>
            <w:tcBorders>
              <w:top w:val="single" w:sz="8" w:color="D2EEF5"/>
              <w:bottom w:val="single" w:sz="8" w:color="D2EEF5"/>
            </w:tcBorders>
            <w:shd w:val="clear" w:color="auto" w:fill="D2EEF5"/>
          </w:tcPr>
          <w:p>
            <w:pPr>
              <w:spacing w:after="0"/>
              <w:rPr>
                <w:sz w:val="15"/>
                <w:szCs w:val="15"/>
                <w:color w:val="auto"/>
              </w:rPr>
            </w:pPr>
          </w:p>
        </w:tc>
        <w:tc>
          <w:tcPr>
            <w:tcW w:w="320" w:type="dxa"/>
            <w:vAlign w:val="bottom"/>
            <w:tcBorders>
              <w:top w:val="single" w:sz="8" w:color="auto"/>
              <w:bottom w:val="single" w:sz="8" w:color="auto"/>
            </w:tcBorders>
            <w:shd w:val="clear" w:color="auto" w:fill="D2EEF5"/>
          </w:tcPr>
          <w:p>
            <w:pPr>
              <w:jc w:val="right"/>
              <w:ind w:right="16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98"/>
              </w:rPr>
              <w:t>(10,681,362)</w:t>
            </w:r>
          </w:p>
        </w:tc>
        <w:tc>
          <w:tcPr>
            <w:tcW w:w="100" w:type="dxa"/>
            <w:vAlign w:val="bottom"/>
            <w:tcBorders>
              <w:top w:val="single" w:sz="8" w:color="D2EEF5"/>
              <w:bottom w:val="single" w:sz="8" w:color="D2EEF5"/>
            </w:tcBorders>
            <w:shd w:val="clear" w:color="auto" w:fill="D2EEF5"/>
          </w:tcPr>
          <w:p>
            <w:pPr>
              <w:spacing w:after="0"/>
              <w:rPr>
                <w:sz w:val="15"/>
                <w:szCs w:val="15"/>
                <w:color w:val="auto"/>
              </w:rPr>
            </w:pPr>
          </w:p>
        </w:tc>
        <w:tc>
          <w:tcPr>
            <w:tcW w:w="100" w:type="dxa"/>
            <w:vAlign w:val="bottom"/>
            <w:tcBorders>
              <w:top w:val="single" w:sz="8" w:color="D2EEF5"/>
              <w:bottom w:val="single" w:sz="8" w:color="D2EEF5"/>
            </w:tcBorders>
            <w:shd w:val="clear" w:color="auto" w:fill="D2EEF5"/>
          </w:tcPr>
          <w:p>
            <w:pPr>
              <w:spacing w:after="0"/>
              <w:rPr>
                <w:sz w:val="15"/>
                <w:szCs w:val="15"/>
                <w:color w:val="auto"/>
              </w:rPr>
            </w:pPr>
          </w:p>
        </w:tc>
        <w:tc>
          <w:tcPr>
            <w:tcW w:w="240" w:type="dxa"/>
            <w:vAlign w:val="bottom"/>
            <w:tcBorders>
              <w:top w:val="single" w:sz="8" w:color="auto"/>
              <w:bottom w:val="single" w:sz="8" w:color="auto"/>
            </w:tcBorders>
            <w:shd w:val="clear" w:color="auto" w:fill="D2EEF5"/>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(1,497,414)</w:t>
            </w:r>
          </w:p>
        </w:tc>
        <w:tc>
          <w:tcPr>
            <w:tcW w:w="200" w:type="dxa"/>
            <w:vAlign w:val="bottom"/>
            <w:tcBorders>
              <w:top w:val="single" w:sz="8" w:color="D2EEF5"/>
              <w:bottom w:val="single" w:sz="8" w:color="D2EEF5"/>
            </w:tcBorders>
            <w:shd w:val="clear" w:color="auto" w:fill="D2EEF5"/>
          </w:tcPr>
          <w:p>
            <w:pPr>
              <w:spacing w:after="0"/>
              <w:rPr>
                <w:sz w:val="15"/>
                <w:szCs w:val="15"/>
                <w:color w:val="auto"/>
              </w:rPr>
            </w:pPr>
          </w:p>
        </w:tc>
        <w:tc>
          <w:tcPr>
            <w:tcW w:w="380" w:type="dxa"/>
            <w:vAlign w:val="bottom"/>
            <w:tcBorders>
              <w:top w:val="single" w:sz="8" w:color="auto"/>
              <w:bottom w:val="single" w:sz="8" w:color="auto"/>
            </w:tcBorders>
            <w:shd w:val="clear" w:color="auto" w:fill="D2EEF5"/>
          </w:tcPr>
          <w:p>
            <w:pPr>
              <w:spacing w:after="0"/>
              <w:rPr>
                <w:sz w:val="15"/>
                <w:szCs w:val="15"/>
                <w:color w:val="auto"/>
              </w:rPr>
            </w:pPr>
          </w:p>
        </w:tc>
        <w:tc>
          <w:tcPr>
            <w:tcW w:w="6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14</w:t>
            </w:r>
          </w:p>
        </w:tc>
        <w:tc>
          <w:tcPr>
            <w:tcW w:w="200" w:type="dxa"/>
            <w:vAlign w:val="bottom"/>
            <w:tcBorders>
              <w:top w:val="single" w:sz="8" w:color="D2EEF5"/>
              <w:bottom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We did not generate any revenue during the years ended December 31, 2025 and 2024, respectively, from the sales or licensing of our product candidates.</w:t>
      </w:r>
    </w:p>
    <w:p>
      <w:pPr>
        <w:spacing w:after="0" w:line="194"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4" w:orient="portrait"/>
          <w:cols w:equalWidth="0" w:num="1">
            <w:col w:w="10640"/>
          </w:cols>
          <w:pgMar w:left="620" w:top="1440" w:right="634" w:bottom="115"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September 2022, we received notice from the FDA that we had been awarded a $2.0 million grant from the FDA’s Orphan Products Grant program to support the clinical investigation of MT-401 for the treatment of AML (the “FDA Grant”).</w:t>
      </w:r>
    </w:p>
    <w:p>
      <w:pPr>
        <w:spacing w:after="0" w:line="119" w:lineRule="exact"/>
        <w:rPr>
          <w:sz w:val="20"/>
          <w:szCs w:val="20"/>
          <w:color w:val="auto"/>
        </w:rPr>
      </w:pPr>
    </w:p>
    <w:p>
      <w:pPr>
        <w:spacing w:after="0" w:line="337" w:lineRule="auto"/>
        <w:rPr>
          <w:sz w:val="20"/>
          <w:szCs w:val="20"/>
          <w:color w:val="auto"/>
        </w:rPr>
      </w:pPr>
      <w:r>
        <w:rPr>
          <w:rFonts w:ascii="Arial" w:cs="Arial" w:eastAsia="Arial" w:hAnsi="Arial"/>
          <w:sz w:val="14"/>
          <w:szCs w:val="14"/>
          <w:color w:val="auto"/>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 above funding agencies have agreed to continue their financial support and to shift funds to the MT-401-OTS program.</w:t>
      </w:r>
    </w:p>
    <w:p>
      <w:pPr>
        <w:spacing w:after="0" w:line="19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June 2024, we received notice of a $2.0 million grant over a 2-year period from the National Institutes of Health SBIR program to support control over tumor immune escape in pancreatic cancer using a dual T cell product strategy (the “Decoy Grant”).</w:t>
      </w:r>
    </w:p>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August 2024, we received notice of an additional $2.0 million grant from the NIH SBIR program to support the clinical investigation of MT-601 in patients with non-Hodgkin’s lymphoma (“NHL”) who have relapsed following anti-CD19 chimeric antigen receptor (“CAR”) T cell therapy (the “SBIR NHL Grant”).</w:t>
      </w:r>
    </w:p>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August 2024, we received another $2.0 million grant from the National Institutes of Health SBIR Program to support the advancement of MT-601 in patients with pancreatic cancer (the “PANACEA Grant”).</w:t>
      </w:r>
    </w:p>
    <w:p>
      <w:pPr>
        <w:spacing w:after="0" w:line="119" w:lineRule="exact"/>
        <w:rPr>
          <w:sz w:val="20"/>
          <w:szCs w:val="20"/>
          <w:color w:val="auto"/>
        </w:rPr>
      </w:pPr>
    </w:p>
    <w:p>
      <w:pPr>
        <w:ind w:firstLine="1"/>
        <w:spacing w:after="0" w:line="299" w:lineRule="auto"/>
        <w:rPr>
          <w:sz w:val="20"/>
          <w:szCs w:val="20"/>
          <w:color w:val="auto"/>
        </w:rPr>
      </w:pPr>
      <w:r>
        <w:rPr>
          <w:rFonts w:ascii="Arial" w:cs="Arial" w:eastAsia="Arial" w:hAnsi="Arial"/>
          <w:sz w:val="15"/>
          <w:szCs w:val="15"/>
          <w:color w:val="auto"/>
        </w:rPr>
        <w:t>In December 2024, we received notice an additional $9.5 million grant from CPRIT to support the clinical investigation of MT-601 in patients with metastatic pancreatic cancer (the “CPRIT Pancreatic Grant”).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grant income recorded for the years ended December 31, 2025 and 2024, by grant:</w:t>
      </w:r>
    </w:p>
    <w:p>
      <w:pPr>
        <w:spacing w:after="0" w:line="188" w:lineRule="exact"/>
        <w:rPr>
          <w:sz w:val="20"/>
          <w:szCs w:val="20"/>
          <w:color w:val="auto"/>
        </w:rPr>
      </w:pPr>
    </w:p>
    <w:p>
      <w:pPr>
        <w:jc w:val="center"/>
        <w:ind w:left="6360"/>
        <w:spacing w:after="0"/>
        <w:rPr>
          <w:sz w:val="20"/>
          <w:szCs w:val="20"/>
          <w:color w:val="auto"/>
        </w:rPr>
      </w:pPr>
      <w:r>
        <w:rPr>
          <w:rFonts w:ascii="Arial" w:cs="Arial" w:eastAsia="Arial" w:hAnsi="Arial"/>
          <w:sz w:val="12"/>
          <w:szCs w:val="12"/>
          <w:b w:val="1"/>
          <w:bCs w:val="1"/>
          <w:color w:val="auto"/>
        </w:rPr>
        <w:t>For the Years Ended</w:t>
      </w:r>
    </w:p>
    <w:p>
      <w:pPr>
        <w:jc w:val="center"/>
        <w:ind w:left="636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1"/>
        </w:trPr>
        <w:tc>
          <w:tcPr>
            <w:tcW w:w="1080" w:type="dxa"/>
            <w:vAlign w:val="bottom"/>
          </w:tcPr>
          <w:p>
            <w:pPr>
              <w:spacing w:after="0"/>
              <w:rPr>
                <w:sz w:val="11"/>
                <w:szCs w:val="11"/>
                <w:color w:val="auto"/>
              </w:rPr>
            </w:pPr>
          </w:p>
        </w:tc>
        <w:tc>
          <w:tcPr>
            <w:tcW w:w="1580" w:type="dxa"/>
            <w:vAlign w:val="bottom"/>
            <w:tcBorders>
              <w:bottom w:val="single" w:sz="8" w:color="D2EEF5"/>
            </w:tcBorders>
          </w:tcPr>
          <w:p>
            <w:pPr>
              <w:spacing w:after="0"/>
              <w:rPr>
                <w:sz w:val="11"/>
                <w:szCs w:val="11"/>
                <w:color w:val="auto"/>
              </w:rPr>
            </w:pPr>
          </w:p>
        </w:tc>
        <w:tc>
          <w:tcPr>
            <w:tcW w:w="4800" w:type="dxa"/>
            <w:vAlign w:val="bottom"/>
            <w:tcBorders>
              <w:bottom w:val="single" w:sz="8" w:color="D2EEF5"/>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05"/>
              <w:spacing w:after="0" w:line="131" w:lineRule="exact"/>
              <w:rPr>
                <w:sz w:val="20"/>
                <w:szCs w:val="20"/>
                <w:color w:val="auto"/>
              </w:rPr>
            </w:pPr>
            <w:r>
              <w:rPr>
                <w:rFonts w:ascii="Arial" w:cs="Arial" w:eastAsia="Arial" w:hAnsi="Arial"/>
                <w:sz w:val="12"/>
                <w:szCs w:val="12"/>
                <w:b w:val="1"/>
                <w:bCs w:val="1"/>
                <w:color w:val="auto"/>
              </w:rPr>
              <w:t>2025</w:t>
            </w:r>
          </w:p>
        </w:tc>
        <w:tc>
          <w:tcPr>
            <w:tcW w:w="140" w:type="dxa"/>
            <w:vAlign w:val="bottom"/>
            <w:tcBorders>
              <w:top w:val="single" w:sz="8" w:color="auto"/>
              <w:bottom w:val="single" w:sz="8" w:color="D2EEF5"/>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305"/>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1080" w:type="dxa"/>
            <w:vAlign w:val="bottom"/>
          </w:tcPr>
          <w:p>
            <w:pPr>
              <w:spacing w:after="0"/>
              <w:rPr>
                <w:sz w:val="15"/>
                <w:szCs w:val="15"/>
                <w:color w:val="auto"/>
              </w:rPr>
            </w:pPr>
          </w:p>
        </w:tc>
        <w:tc>
          <w:tcPr>
            <w:tcW w:w="638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Grant income:</w:t>
            </w:r>
          </w:p>
        </w:tc>
        <w:tc>
          <w:tcPr>
            <w:tcW w:w="80" w:type="dxa"/>
            <w:vAlign w:val="bottom"/>
            <w:shd w:val="clear" w:color="auto" w:fill="D2EEF5"/>
          </w:tcPr>
          <w:p>
            <w:pPr>
              <w:spacing w:after="0"/>
              <w:rPr>
                <w:sz w:val="15"/>
                <w:szCs w:val="15"/>
                <w:color w:val="auto"/>
              </w:rPr>
            </w:pPr>
          </w:p>
        </w:tc>
        <w:tc>
          <w:tcPr>
            <w:tcW w:w="90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780" w:type="dxa"/>
            <w:vAlign w:val="bottom"/>
            <w:shd w:val="clear" w:color="auto" w:fill="D2EEF5"/>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6380" w:type="dxa"/>
            <w:vAlign w:val="bottom"/>
            <w:gridSpan w:val="2"/>
          </w:tcPr>
          <w:p>
            <w:pPr>
              <w:ind w:left="80"/>
              <w:spacing w:after="0" w:line="183" w:lineRule="exact"/>
              <w:rPr>
                <w:sz w:val="20"/>
                <w:szCs w:val="20"/>
                <w:color w:val="auto"/>
              </w:rPr>
            </w:pPr>
            <w:r>
              <w:rPr>
                <w:rFonts w:ascii="Arial" w:cs="Arial" w:eastAsia="Arial" w:hAnsi="Arial"/>
                <w:sz w:val="15"/>
                <w:szCs w:val="15"/>
                <w:color w:val="auto"/>
              </w:rPr>
              <w:t>CPRIT AML Grant</w:t>
            </w:r>
            <w:r>
              <w:rPr>
                <w:rFonts w:ascii="Arial" w:cs="Arial" w:eastAsia="Arial" w:hAnsi="Arial"/>
                <w:sz w:val="21"/>
                <w:szCs w:val="21"/>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900,014</w:t>
            </w:r>
          </w:p>
        </w:tc>
        <w:tc>
          <w:tcPr>
            <w:tcW w:w="14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4,411,149</w:t>
            </w:r>
          </w:p>
        </w:tc>
      </w:tr>
      <w:tr>
        <w:trPr>
          <w:trHeight w:val="183"/>
        </w:trPr>
        <w:tc>
          <w:tcPr>
            <w:tcW w:w="1080" w:type="dxa"/>
            <w:vAlign w:val="bottom"/>
          </w:tcPr>
          <w:p>
            <w:pPr>
              <w:spacing w:after="0"/>
              <w:rPr>
                <w:sz w:val="15"/>
                <w:szCs w:val="15"/>
                <w:color w:val="auto"/>
              </w:rPr>
            </w:pPr>
          </w:p>
        </w:tc>
        <w:tc>
          <w:tcPr>
            <w:tcW w:w="6380" w:type="dxa"/>
            <w:vAlign w:val="bottom"/>
            <w:gridSpan w:val="2"/>
            <w:shd w:val="clear" w:color="auto" w:fill="D2EEF5"/>
          </w:tcPr>
          <w:p>
            <w:pPr>
              <w:ind w:left="80"/>
              <w:spacing w:after="0"/>
              <w:rPr>
                <w:sz w:val="20"/>
                <w:szCs w:val="20"/>
                <w:color w:val="auto"/>
              </w:rPr>
            </w:pPr>
            <w:r>
              <w:rPr>
                <w:rFonts w:ascii="Arial" w:cs="Arial" w:eastAsia="Arial" w:hAnsi="Arial"/>
                <w:sz w:val="15"/>
                <w:szCs w:val="15"/>
                <w:color w:val="auto"/>
              </w:rPr>
              <w:t>FDA Grant</w:t>
            </w:r>
          </w:p>
        </w:tc>
        <w:tc>
          <w:tcPr>
            <w:tcW w:w="80" w:type="dxa"/>
            <w:vAlign w:val="bottom"/>
            <w:shd w:val="clear" w:color="auto" w:fill="D2EEF5"/>
          </w:tcPr>
          <w:p>
            <w:pPr>
              <w:spacing w:after="0"/>
              <w:rPr>
                <w:sz w:val="15"/>
                <w:szCs w:val="15"/>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118,478</w:t>
            </w:r>
          </w:p>
        </w:tc>
        <w:tc>
          <w:tcPr>
            <w:tcW w:w="14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519,750</w:t>
            </w:r>
          </w:p>
        </w:tc>
      </w:tr>
      <w:tr>
        <w:trPr>
          <w:trHeight w:val="183"/>
        </w:trPr>
        <w:tc>
          <w:tcPr>
            <w:tcW w:w="1080" w:type="dxa"/>
            <w:vAlign w:val="bottom"/>
          </w:tcPr>
          <w:p>
            <w:pPr>
              <w:spacing w:after="0"/>
              <w:rPr>
                <w:sz w:val="15"/>
                <w:szCs w:val="15"/>
                <w:color w:val="auto"/>
              </w:rPr>
            </w:pPr>
          </w:p>
        </w:tc>
        <w:tc>
          <w:tcPr>
            <w:tcW w:w="6380" w:type="dxa"/>
            <w:vAlign w:val="bottom"/>
            <w:gridSpan w:val="2"/>
          </w:tcPr>
          <w:p>
            <w:pPr>
              <w:ind w:left="80"/>
              <w:spacing w:after="0"/>
              <w:rPr>
                <w:sz w:val="20"/>
                <w:szCs w:val="20"/>
                <w:color w:val="auto"/>
              </w:rPr>
            </w:pPr>
            <w:r>
              <w:rPr>
                <w:rFonts w:ascii="Arial" w:cs="Arial" w:eastAsia="Arial" w:hAnsi="Arial"/>
                <w:sz w:val="15"/>
                <w:szCs w:val="15"/>
                <w:color w:val="auto"/>
              </w:rPr>
              <w:t>SBIR AML Grant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472,208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982,182</w:t>
            </w:r>
          </w:p>
        </w:tc>
      </w:tr>
      <w:tr>
        <w:trPr>
          <w:trHeight w:val="183"/>
        </w:trPr>
        <w:tc>
          <w:tcPr>
            <w:tcW w:w="1080" w:type="dxa"/>
            <w:vAlign w:val="bottom"/>
          </w:tcPr>
          <w:p>
            <w:pPr>
              <w:spacing w:after="0"/>
              <w:rPr>
                <w:sz w:val="15"/>
                <w:szCs w:val="15"/>
                <w:color w:val="auto"/>
              </w:rPr>
            </w:pPr>
          </w:p>
        </w:tc>
        <w:tc>
          <w:tcPr>
            <w:tcW w:w="6380" w:type="dxa"/>
            <w:vAlign w:val="bottom"/>
            <w:gridSpan w:val="2"/>
            <w:shd w:val="clear" w:color="auto" w:fill="D2EEF5"/>
          </w:tcPr>
          <w:p>
            <w:pPr>
              <w:ind w:left="80"/>
              <w:spacing w:after="0"/>
              <w:rPr>
                <w:sz w:val="20"/>
                <w:szCs w:val="20"/>
                <w:color w:val="auto"/>
              </w:rPr>
            </w:pPr>
            <w:r>
              <w:rPr>
                <w:rFonts w:ascii="Arial" w:cs="Arial" w:eastAsia="Arial" w:hAnsi="Arial"/>
                <w:sz w:val="15"/>
                <w:szCs w:val="15"/>
                <w:color w:val="auto"/>
              </w:rPr>
              <w:t>Decoy Grant</w:t>
            </w:r>
          </w:p>
        </w:tc>
        <w:tc>
          <w:tcPr>
            <w:tcW w:w="80" w:type="dxa"/>
            <w:vAlign w:val="bottom"/>
            <w:shd w:val="clear" w:color="auto" w:fill="D2EEF5"/>
          </w:tcPr>
          <w:p>
            <w:pPr>
              <w:spacing w:after="0"/>
              <w:rPr>
                <w:sz w:val="15"/>
                <w:szCs w:val="15"/>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391,305</w:t>
            </w:r>
          </w:p>
        </w:tc>
        <w:tc>
          <w:tcPr>
            <w:tcW w:w="14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5,822</w:t>
            </w:r>
          </w:p>
        </w:tc>
      </w:tr>
      <w:tr>
        <w:trPr>
          <w:trHeight w:val="183"/>
        </w:trPr>
        <w:tc>
          <w:tcPr>
            <w:tcW w:w="1080" w:type="dxa"/>
            <w:vAlign w:val="bottom"/>
          </w:tcPr>
          <w:p>
            <w:pPr>
              <w:spacing w:after="0"/>
              <w:rPr>
                <w:sz w:val="15"/>
                <w:szCs w:val="15"/>
                <w:color w:val="auto"/>
              </w:rPr>
            </w:pPr>
          </w:p>
        </w:tc>
        <w:tc>
          <w:tcPr>
            <w:tcW w:w="6380" w:type="dxa"/>
            <w:vAlign w:val="bottom"/>
            <w:gridSpan w:val="2"/>
          </w:tcPr>
          <w:p>
            <w:pPr>
              <w:ind w:left="80"/>
              <w:spacing w:after="0"/>
              <w:rPr>
                <w:sz w:val="20"/>
                <w:szCs w:val="20"/>
                <w:color w:val="auto"/>
              </w:rPr>
            </w:pPr>
            <w:r>
              <w:rPr>
                <w:rFonts w:ascii="Arial" w:cs="Arial" w:eastAsia="Arial" w:hAnsi="Arial"/>
                <w:sz w:val="15"/>
                <w:szCs w:val="15"/>
                <w:color w:val="auto"/>
              </w:rPr>
              <w:t>SBIR NHL Grant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665,000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665,000</w:t>
            </w:r>
          </w:p>
        </w:tc>
      </w:tr>
      <w:tr>
        <w:trPr>
          <w:trHeight w:val="183"/>
        </w:trPr>
        <w:tc>
          <w:tcPr>
            <w:tcW w:w="1080" w:type="dxa"/>
            <w:vAlign w:val="bottom"/>
          </w:tcPr>
          <w:p>
            <w:pPr>
              <w:spacing w:after="0"/>
              <w:rPr>
                <w:sz w:val="15"/>
                <w:szCs w:val="15"/>
                <w:color w:val="auto"/>
              </w:rPr>
            </w:pPr>
          </w:p>
        </w:tc>
        <w:tc>
          <w:tcPr>
            <w:tcW w:w="6380" w:type="dxa"/>
            <w:vAlign w:val="bottom"/>
            <w:gridSpan w:val="2"/>
            <w:shd w:val="clear" w:color="auto" w:fill="D2EEF5"/>
          </w:tcPr>
          <w:p>
            <w:pPr>
              <w:ind w:left="80"/>
              <w:spacing w:after="0"/>
              <w:rPr>
                <w:sz w:val="20"/>
                <w:szCs w:val="20"/>
                <w:color w:val="auto"/>
              </w:rPr>
            </w:pPr>
            <w:r>
              <w:rPr>
                <w:rFonts w:ascii="Arial" w:cs="Arial" w:eastAsia="Arial" w:hAnsi="Arial"/>
                <w:sz w:val="15"/>
                <w:szCs w:val="15"/>
                <w:color w:val="auto"/>
              </w:rPr>
              <w:t>PANACEA Grant</w:t>
            </w:r>
          </w:p>
        </w:tc>
        <w:tc>
          <w:tcPr>
            <w:tcW w:w="80" w:type="dxa"/>
            <w:vAlign w:val="bottom"/>
            <w:shd w:val="clear" w:color="auto" w:fill="D2EEF5"/>
          </w:tcPr>
          <w:p>
            <w:pPr>
              <w:spacing w:after="0"/>
              <w:rPr>
                <w:sz w:val="15"/>
                <w:szCs w:val="15"/>
                <w:color w:val="auto"/>
              </w:rPr>
            </w:pPr>
          </w:p>
        </w:tc>
        <w:tc>
          <w:tcPr>
            <w:tcW w:w="9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425,670</w:t>
            </w:r>
          </w:p>
        </w:tc>
        <w:tc>
          <w:tcPr>
            <w:tcW w:w="14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7,177</w:t>
            </w:r>
          </w:p>
        </w:tc>
      </w:tr>
      <w:tr>
        <w:trPr>
          <w:trHeight w:val="183"/>
        </w:trPr>
        <w:tc>
          <w:tcPr>
            <w:tcW w:w="1080" w:type="dxa"/>
            <w:vAlign w:val="bottom"/>
          </w:tcPr>
          <w:p>
            <w:pPr>
              <w:spacing w:after="0"/>
              <w:rPr>
                <w:sz w:val="15"/>
                <w:szCs w:val="15"/>
                <w:color w:val="auto"/>
              </w:rPr>
            </w:pPr>
          </w:p>
        </w:tc>
        <w:tc>
          <w:tcPr>
            <w:tcW w:w="6380" w:type="dxa"/>
            <w:vAlign w:val="bottom"/>
            <w:tcBorders>
              <w:bottom w:val="single" w:sz="8" w:color="D2EEF5"/>
            </w:tcBorders>
            <w:gridSpan w:val="2"/>
          </w:tcPr>
          <w:p>
            <w:pPr>
              <w:ind w:left="80"/>
              <w:spacing w:after="0" w:line="183" w:lineRule="exact"/>
              <w:rPr>
                <w:sz w:val="20"/>
                <w:szCs w:val="20"/>
                <w:color w:val="auto"/>
              </w:rPr>
            </w:pPr>
            <w:r>
              <w:rPr>
                <w:rFonts w:ascii="Arial" w:cs="Arial" w:eastAsia="Arial" w:hAnsi="Arial"/>
                <w:sz w:val="15"/>
                <w:szCs w:val="15"/>
                <w:color w:val="auto"/>
              </w:rPr>
              <w:t>CPRIT Pancreatic Grant</w:t>
            </w:r>
            <w:r>
              <w:rPr>
                <w:rFonts w:ascii="Arial" w:cs="Arial" w:eastAsia="Arial" w:hAnsi="Arial"/>
                <w:sz w:val="21"/>
                <w:szCs w:val="21"/>
                <w:color w:val="auto"/>
                <w:vertAlign w:val="superscript"/>
              </w:rPr>
              <w:t>1</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573,994</w:t>
            </w:r>
          </w:p>
        </w:tc>
        <w:tc>
          <w:tcPr>
            <w:tcW w:w="140" w:type="dxa"/>
            <w:vAlign w:val="bottom"/>
            <w:tcBorders>
              <w:bottom w:val="single" w:sz="8" w:color="D2EEF5"/>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1080" w:type="dxa"/>
            <w:vAlign w:val="bottom"/>
          </w:tcPr>
          <w:p>
            <w:pPr>
              <w:spacing w:after="0"/>
              <w:rPr>
                <w:sz w:val="15"/>
                <w:szCs w:val="15"/>
                <w:color w:val="auto"/>
              </w:rPr>
            </w:pPr>
          </w:p>
        </w:tc>
        <w:tc>
          <w:tcPr>
            <w:tcW w:w="638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5"/>
                <w:szCs w:val="15"/>
                <w:color w:val="auto"/>
              </w:rPr>
              <w:t>Total grant income</w:t>
            </w: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3,546,669</w:t>
            </w:r>
          </w:p>
        </w:tc>
        <w:tc>
          <w:tcPr>
            <w:tcW w:w="140" w:type="dxa"/>
            <w:vAlign w:val="bottom"/>
            <w:tcBorders>
              <w:bottom w:val="single" w:sz="8" w:color="D2EEF5"/>
            </w:tcBorders>
            <w:shd w:val="clear" w:color="auto" w:fill="D2EEF5"/>
          </w:tcPr>
          <w:p>
            <w:pPr>
              <w:spacing w:after="0"/>
              <w:rPr>
                <w:sz w:val="15"/>
                <w:szCs w:val="15"/>
                <w:color w:val="auto"/>
              </w:rPr>
            </w:pPr>
          </w:p>
        </w:tc>
        <w:tc>
          <w:tcPr>
            <w:tcW w:w="220" w:type="dxa"/>
            <w:vAlign w:val="bottom"/>
            <w:tcBorders>
              <w:bottom w:val="single" w:sz="8" w:color="auto"/>
            </w:tcBorders>
            <w:shd w:val="clear" w:color="auto" w:fill="D2EEF5"/>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6,591,080</w:t>
            </w:r>
          </w:p>
        </w:tc>
      </w:tr>
      <w:tr>
        <w:trPr>
          <w:trHeight w:val="20"/>
        </w:trPr>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6"/>
        </w:trPr>
        <w:tc>
          <w:tcPr>
            <w:tcW w:w="10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48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(1) Both CPRIT grants are subject to certain revenue - sharing arrangements, as per the grant agreements (see Note 10).</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192"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Operating expenses incurred during the fiscal year ended December 31, 2025 were $16.4 million compared to $17.7 million in the prior year. Significant changes in operating expenses are outlined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Research and Development Expense</w:t>
      </w:r>
    </w:p>
    <w:p>
      <w:pPr>
        <w:spacing w:after="0" w:line="191"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Research and development expenses or clinical trial costs decreased by 12% to $11.8 million for the year ended December 31, 2025, compared to $13.5 million for the year ended December 31, 2024.</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decrease of $1.7 million in 2025 was primarily attributable to the following:</w:t>
      </w:r>
    </w:p>
    <w:p>
      <w:pPr>
        <w:spacing w:after="0" w:line="193" w:lineRule="exact"/>
        <w:rPr>
          <w:sz w:val="20"/>
          <w:szCs w:val="20"/>
          <w:color w:val="auto"/>
        </w:rPr>
      </w:pPr>
    </w:p>
    <w:p>
      <w:pPr>
        <w:ind w:left="580" w:hanging="275"/>
        <w:spacing w:after="0"/>
        <w:tabs>
          <w:tab w:leader="none" w:pos="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Net decrease of $3.2 million in clinical trial expenses, primarily related to the AML study, offset by</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increase of $1.4 million in clinical consulting expenses, process development costs, and other clinical expenses, and</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4" w:orient="portrait"/>
          <w:cols w:equalWidth="0" w:num="1">
            <w:col w:w="10640"/>
          </w:cols>
          <w:pgMar w:left="620" w:top="1440" w:right="634" w:bottom="115"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 w:hanging="275"/>
        <w:spacing w:after="0"/>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increase of $0.1 million in headcount-related expenses, including stock-based compensation expense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General and Administrative Expenses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General and administrative expenses decreased by 1% to $4.2 million for the year ended December 31, 2025 from $4.2 million during the prior period, and therefore remained consistent overall year over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Interest Income</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Interest income was $0.6 million and $0.4 million for the years ended December 31, 2025 and 2024, respectively, and was attributable to interest income relating to funds that are held in U.S. Treasury notes and U.S. government agency-backed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Other Income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Other income was $0.1 million and nil for the years ended December 31, 2025 and 2024, respectively, and was attributable to a state sales tax rebate from 2022.</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Loss</w:t>
      </w:r>
    </w:p>
    <w:p>
      <w:pPr>
        <w:spacing w:after="0" w:line="192"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The increase in our net loss during the year ended December 31, 2025 compared to the year ended December 31, 2024 was due to lower grant income. We anticipate that we will continue to incur net losses in the future as we continue to invest in research and development activities, including clinical development of our MAR-T cell product candidates.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Liquidity and Capital Resources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as well as grants. Based on our lack of recurring revenues, anticipated uses of cash and historical recurring cash losses from operating activities, and cash, cash equivalents, and restricted cash as of December 31, 2025, and taking into consideration the net proceeds received in July and August of 2025 through the sale of Common Stock pursuant to its ATM Agreement with H.C. Wainwright &amp; Co., LLC, we anticipate that we will be able to fund our operating expenses and capital expenditure requirements through the fourth quarter of 2026, assuming no additional grant funds are received, either from new grants or from existing awarded grants. We are considering raising additional capital through the issuance of common shares or preferred shares and intend to apply for additional grant funds, which could enable us to fund our operating expenses and capital expenditure requirements beyond the fourth quarter of 2026, although no assurance can be given that such capital or existing awarded grants will be earned or future grants will be awarded. This estimate is subject to our ability to effectively manage our costs, raise additional capital, and receive additional grant funds, of which there can be no assurance.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and Working Capital</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our cash, cash equivalents, and restricted cash as well as working capital as of December 31,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2025</w:t>
            </w:r>
          </w:p>
        </w:tc>
        <w:tc>
          <w:tcPr>
            <w:tcW w:w="140" w:type="dxa"/>
            <w:vAlign w:val="bottom"/>
          </w:tcPr>
          <w:p>
            <w:pPr>
              <w:spacing w:after="0"/>
              <w:rPr>
                <w:sz w:val="13"/>
                <w:szCs w:val="13"/>
                <w:color w:val="auto"/>
              </w:rPr>
            </w:pPr>
          </w:p>
        </w:tc>
        <w:tc>
          <w:tcPr>
            <w:tcW w:w="1260" w:type="dxa"/>
            <w:vAlign w:val="bottom"/>
          </w:tcPr>
          <w:p>
            <w:pPr>
              <w:jc w:val="right"/>
              <w:ind w:right="129"/>
              <w:spacing w:after="0"/>
              <w:rPr>
                <w:sz w:val="20"/>
                <w:szCs w:val="20"/>
                <w:color w:val="auto"/>
              </w:rPr>
            </w:pPr>
            <w:r>
              <w:rPr>
                <w:rFonts w:ascii="Arial" w:cs="Arial" w:eastAsia="Arial" w:hAnsi="Arial"/>
                <w:sz w:val="12"/>
                <w:szCs w:val="12"/>
                <w:b w:val="1"/>
                <w:bCs w:val="1"/>
                <w:color w:val="auto"/>
                <w:w w:val="96"/>
              </w:rPr>
              <w:t>December 31, 2024</w:t>
            </w:r>
          </w:p>
        </w:tc>
      </w:tr>
      <w:tr>
        <w:trPr>
          <w:trHeight w:val="174"/>
        </w:trPr>
        <w:tc>
          <w:tcPr>
            <w:tcW w:w="512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Cash, cash equivalents, and restricted cash</w:t>
            </w:r>
          </w:p>
        </w:tc>
        <w:tc>
          <w:tcPr>
            <w:tcW w:w="250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17,042,847</w:t>
            </w:r>
          </w:p>
        </w:tc>
        <w:tc>
          <w:tcPr>
            <w:tcW w:w="2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19,192,440</w:t>
            </w:r>
          </w:p>
        </w:tc>
      </w:tr>
      <w:tr>
        <w:trPr>
          <w:trHeight w:val="205"/>
        </w:trPr>
        <w:tc>
          <w:tcPr>
            <w:tcW w:w="5120" w:type="dxa"/>
            <w:vAlign w:val="bottom"/>
          </w:tcPr>
          <w:p>
            <w:pPr>
              <w:spacing w:after="0"/>
              <w:rPr>
                <w:sz w:val="20"/>
                <w:szCs w:val="20"/>
                <w:color w:val="auto"/>
              </w:rPr>
            </w:pPr>
            <w:r>
              <w:rPr>
                <w:rFonts w:ascii="Arial" w:cs="Arial" w:eastAsia="Arial" w:hAnsi="Arial"/>
                <w:sz w:val="15"/>
                <w:szCs w:val="15"/>
                <w:color w:val="auto"/>
              </w:rPr>
              <w:t>Working capital</w:t>
            </w:r>
          </w:p>
        </w:tc>
        <w:tc>
          <w:tcPr>
            <w:tcW w:w="26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16,796,814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18,558,406</w:t>
            </w:r>
          </w:p>
        </w:tc>
      </w:tr>
    </w:tbl>
    <w:p>
      <w:pPr>
        <w:spacing w:after="0" w:line="200" w:lineRule="exact"/>
        <w:rPr>
          <w:sz w:val="20"/>
          <w:szCs w:val="20"/>
          <w:color w:val="auto"/>
        </w:rPr>
      </w:pP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4" w:orient="portrait"/>
          <w:cols w:equalWidth="0" w:num="1">
            <w:col w:w="10640"/>
          </w:cols>
          <w:pgMar w:left="620" w:top="1440" w:right="634" w:bottom="115"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cash flows for the years ended December 31, 2025 and 2024:</w:t>
      </w:r>
    </w:p>
    <w:p>
      <w:pPr>
        <w:spacing w:after="0" w:line="188" w:lineRule="exact"/>
        <w:rPr>
          <w:sz w:val="20"/>
          <w:szCs w:val="20"/>
          <w:color w:val="auto"/>
        </w:rPr>
      </w:pPr>
    </w:p>
    <w:p>
      <w:pPr>
        <w:ind w:left="8720"/>
        <w:spacing w:after="0"/>
        <w:rPr>
          <w:sz w:val="20"/>
          <w:szCs w:val="20"/>
          <w:color w:val="auto"/>
        </w:rPr>
      </w:pPr>
      <w:r>
        <w:rPr>
          <w:rFonts w:ascii="Arial" w:cs="Arial" w:eastAsia="Arial" w:hAnsi="Arial"/>
          <w:sz w:val="12"/>
          <w:szCs w:val="12"/>
          <w:b w:val="1"/>
          <w:bCs w:val="1"/>
          <w:color w:val="auto"/>
        </w:rPr>
        <w:t>For the Years Ended</w:t>
      </w:r>
    </w:p>
    <w:p>
      <w:pPr>
        <w:ind w:left="888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1"/>
        </w:trPr>
        <w:tc>
          <w:tcPr>
            <w:tcW w:w="6160" w:type="dxa"/>
            <w:vAlign w:val="bottom"/>
            <w:tcBorders>
              <w:bottom w:val="single" w:sz="8" w:color="D2EEF5"/>
            </w:tcBorders>
          </w:tcPr>
          <w:p>
            <w:pPr>
              <w:spacing w:after="0"/>
              <w:rPr>
                <w:sz w:val="11"/>
                <w:szCs w:val="11"/>
                <w:color w:val="auto"/>
              </w:rPr>
            </w:pPr>
          </w:p>
        </w:tc>
        <w:tc>
          <w:tcPr>
            <w:tcW w:w="1700" w:type="dxa"/>
            <w:vAlign w:val="bottom"/>
            <w:tcBorders>
              <w:bottom w:val="single" w:sz="8" w:color="D2EEF5"/>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47"/>
              <w:spacing w:after="0" w:line="131" w:lineRule="exact"/>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D2EEF5"/>
            </w:tcBorders>
          </w:tcPr>
          <w:p>
            <w:pPr>
              <w:spacing w:after="0"/>
              <w:rPr>
                <w:sz w:val="11"/>
                <w:szCs w:val="11"/>
                <w:color w:val="auto"/>
              </w:rPr>
            </w:pPr>
          </w:p>
        </w:tc>
        <w:tc>
          <w:tcPr>
            <w:tcW w:w="120" w:type="dxa"/>
            <w:vAlign w:val="bottom"/>
            <w:tcBorders>
              <w:top w:val="single" w:sz="8" w:color="auto"/>
              <w:bottom w:val="single" w:sz="8" w:color="D2EEF5"/>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47"/>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616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Net cash provided by (used in):</w:t>
            </w:r>
          </w:p>
        </w:tc>
        <w:tc>
          <w:tcPr>
            <w:tcW w:w="17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r>
      <w:tr>
        <w:trPr>
          <w:trHeight w:val="183"/>
        </w:trPr>
        <w:tc>
          <w:tcPr>
            <w:tcW w:w="6160" w:type="dxa"/>
            <w:vAlign w:val="bottom"/>
          </w:tcPr>
          <w:p>
            <w:pPr>
              <w:ind w:left="100"/>
              <w:spacing w:after="0"/>
              <w:rPr>
                <w:sz w:val="20"/>
                <w:szCs w:val="20"/>
                <w:color w:val="auto"/>
              </w:rPr>
            </w:pPr>
            <w:r>
              <w:rPr>
                <w:rFonts w:ascii="Arial" w:cs="Arial" w:eastAsia="Arial" w:hAnsi="Arial"/>
                <w:sz w:val="15"/>
                <w:szCs w:val="15"/>
                <w:color w:val="auto"/>
              </w:rPr>
              <w:t>Operating activities</w:t>
            </w:r>
          </w:p>
        </w:tc>
        <w:tc>
          <w:tcPr>
            <w:tcW w:w="198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(12,014,081)</w:t>
            </w:r>
          </w:p>
        </w:tc>
        <w:tc>
          <w:tcPr>
            <w:tcW w:w="40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(10,910,324)</w:t>
            </w:r>
          </w:p>
        </w:tc>
      </w:tr>
      <w:tr>
        <w:trPr>
          <w:trHeight w:val="183"/>
        </w:trPr>
        <w:tc>
          <w:tcPr>
            <w:tcW w:w="6160" w:type="dxa"/>
            <w:vAlign w:val="bottom"/>
            <w:shd w:val="clear" w:color="auto" w:fill="D2EEF5"/>
          </w:tcPr>
          <w:p>
            <w:pPr>
              <w:ind w:left="100"/>
              <w:spacing w:after="0"/>
              <w:rPr>
                <w:sz w:val="20"/>
                <w:szCs w:val="20"/>
                <w:color w:val="auto"/>
              </w:rPr>
            </w:pPr>
            <w:r>
              <w:rPr>
                <w:rFonts w:ascii="Arial" w:cs="Arial" w:eastAsia="Arial" w:hAnsi="Arial"/>
                <w:sz w:val="15"/>
                <w:szCs w:val="15"/>
                <w:color w:val="auto"/>
              </w:rPr>
              <w:t>Investing activities</w:t>
            </w:r>
          </w:p>
        </w:tc>
        <w:tc>
          <w:tcPr>
            <w:tcW w:w="17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100" w:type="dxa"/>
            <w:vAlign w:val="bottom"/>
            <w:gridSpan w:val="2"/>
            <w:shd w:val="clear" w:color="auto" w:fill="D2EEF5"/>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6160" w:type="dxa"/>
            <w:vAlign w:val="bottom"/>
            <w:tcBorders>
              <w:bottom w:val="single" w:sz="8" w:color="D2EEF5"/>
            </w:tcBorders>
          </w:tcPr>
          <w:p>
            <w:pPr>
              <w:ind w:left="100"/>
              <w:spacing w:after="0"/>
              <w:rPr>
                <w:sz w:val="20"/>
                <w:szCs w:val="20"/>
                <w:color w:val="auto"/>
              </w:rPr>
            </w:pPr>
            <w:r>
              <w:rPr>
                <w:rFonts w:ascii="Arial" w:cs="Arial" w:eastAsia="Arial" w:hAnsi="Arial"/>
                <w:sz w:val="15"/>
                <w:szCs w:val="15"/>
                <w:color w:val="auto"/>
              </w:rPr>
              <w:t>Financing activities</w:t>
            </w:r>
          </w:p>
        </w:tc>
        <w:tc>
          <w:tcPr>
            <w:tcW w:w="1700" w:type="dxa"/>
            <w:vAlign w:val="bottom"/>
            <w:tcBorders>
              <w:bottom w:val="single" w:sz="8" w:color="D2EEF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9,864,488</w:t>
            </w:r>
          </w:p>
        </w:tc>
        <w:tc>
          <w:tcPr>
            <w:tcW w:w="100" w:type="dxa"/>
            <w:vAlign w:val="bottom"/>
            <w:tcBorders>
              <w:bottom w:val="single" w:sz="8" w:color="D2EEF5"/>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14,991,314</w:t>
            </w:r>
          </w:p>
        </w:tc>
      </w:tr>
      <w:tr>
        <w:trPr>
          <w:trHeight w:val="174"/>
        </w:trPr>
        <w:tc>
          <w:tcPr>
            <w:tcW w:w="61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Net (decrease) increase in cash, cash equivalents, and restricted cash</w:t>
            </w:r>
          </w:p>
        </w:tc>
        <w:tc>
          <w:tcPr>
            <w:tcW w:w="1700" w:type="dxa"/>
            <w:vAlign w:val="bottom"/>
            <w:tcBorders>
              <w:bottom w:val="single" w:sz="8" w:color="D2EEF5"/>
            </w:tcBorders>
            <w:shd w:val="clear" w:color="auto" w:fill="D2EEF5"/>
          </w:tcPr>
          <w:p>
            <w:pPr>
              <w:spacing w:after="0"/>
              <w:rPr>
                <w:sz w:val="15"/>
                <w:szCs w:val="15"/>
                <w:color w:val="auto"/>
              </w:rPr>
            </w:pPr>
          </w:p>
        </w:tc>
        <w:tc>
          <w:tcPr>
            <w:tcW w:w="280" w:type="dxa"/>
            <w:vAlign w:val="bottom"/>
            <w:tcBorders>
              <w:bottom w:val="single" w:sz="8" w:color="auto"/>
            </w:tcBorders>
            <w:shd w:val="clear" w:color="auto" w:fill="D2EEF5"/>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(2,149,593)</w:t>
            </w:r>
          </w:p>
        </w:tc>
        <w:tc>
          <w:tcPr>
            <w:tcW w:w="100" w:type="dxa"/>
            <w:vAlign w:val="bottom"/>
            <w:tcBorders>
              <w:bottom w:val="single" w:sz="8" w:color="D2EEF5"/>
            </w:tcBorders>
            <w:shd w:val="clear" w:color="auto" w:fill="D2EEF5"/>
          </w:tcPr>
          <w:p>
            <w:pPr>
              <w:spacing w:after="0"/>
              <w:rPr>
                <w:sz w:val="15"/>
                <w:szCs w:val="15"/>
                <w:color w:val="auto"/>
              </w:rPr>
            </w:pPr>
          </w:p>
        </w:tc>
        <w:tc>
          <w:tcPr>
            <w:tcW w:w="120" w:type="dxa"/>
            <w:vAlign w:val="bottom"/>
            <w:tcBorders>
              <w:bottom w:val="single" w:sz="8" w:color="D2EEF5"/>
            </w:tcBorders>
            <w:shd w:val="clear" w:color="auto" w:fill="D2EEF5"/>
          </w:tcPr>
          <w:p>
            <w:pPr>
              <w:spacing w:after="0"/>
              <w:rPr>
                <w:sz w:val="15"/>
                <w:szCs w:val="15"/>
                <w:color w:val="auto"/>
              </w:rPr>
            </w:pPr>
          </w:p>
        </w:tc>
        <w:tc>
          <w:tcPr>
            <w:tcW w:w="280" w:type="dxa"/>
            <w:vAlign w:val="bottom"/>
            <w:tcBorders>
              <w:bottom w:val="single" w:sz="8" w:color="auto"/>
            </w:tcBorders>
            <w:shd w:val="clear" w:color="auto" w:fill="D2EEF5"/>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4,080,990</w:t>
            </w:r>
          </w:p>
        </w:tc>
      </w:tr>
      <w:tr>
        <w:trPr>
          <w:trHeight w:val="20"/>
        </w:trPr>
        <w:tc>
          <w:tcPr>
            <w:tcW w:w="6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Continuing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Operating Activities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Net cash used in operating activities during the year ended December 31, 2025 was $12.0 million. The use of cash primarily related to our net loss of $12.2 million and a $0.3 million decrease from changes in assets and liabilities, offset by $0.5 million of stock-based compensation.</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Net cash used in operating activities during the year ended December 31, 2024 was $10.9 million. The use of cash primarily related to our net loss of $10.7 million and a $0.4 million decrease from changes in assets and liabilities, offset by $0.2 million of stock-based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Financing Activities</w:t>
      </w:r>
    </w:p>
    <w:p>
      <w:pPr>
        <w:spacing w:after="0" w:line="191"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Net cash provided by financing activities was $9.9 million and $15.0 million during the years ended December 31, 2025 and 2024, respectively, primarily due to the net proceeds received from sale of common stock through the ATM Agreement in 2025 and Private Placement in 2024, as well as the exercise of stock options.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Future Capital Requirements</w:t>
      </w:r>
    </w:p>
    <w:p>
      <w:pPr>
        <w:spacing w:after="0" w:line="196" w:lineRule="exact"/>
        <w:rPr>
          <w:sz w:val="20"/>
          <w:szCs w:val="20"/>
          <w:color w:val="auto"/>
        </w:rPr>
      </w:pPr>
    </w:p>
    <w:p>
      <w:pPr>
        <w:jc w:val="both"/>
        <w:ind w:firstLine="1"/>
        <w:spacing w:after="0" w:line="282" w:lineRule="auto"/>
        <w:rPr>
          <w:sz w:val="20"/>
          <w:szCs w:val="20"/>
          <w:color w:val="auto"/>
        </w:rPr>
      </w:pPr>
      <w:r>
        <w:rPr>
          <w:rFonts w:ascii="Arial" w:cs="Arial" w:eastAsia="Arial" w:hAnsi="Arial"/>
          <w:sz w:val="14"/>
          <w:szCs w:val="14"/>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4" w:orient="portrait"/>
          <w:cols w:equalWidth="0" w:num="1">
            <w:col w:w="10640"/>
          </w:cols>
          <w:pgMar w:left="620" w:top="1440" w:right="634" w:bottom="115"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Other receivable mainly consists of grant income receivable. Qualifying grant income earned in advance of cash received from grants is recognized as revenue and recorded as other receivable. The following table summarizes the Company’s other receivable balance as of December 31, 2025 and 2024, respectively:</w:t>
      </w:r>
    </w:p>
    <w:p>
      <w:pPr>
        <w:spacing w:after="0" w:line="117" w:lineRule="exact"/>
        <w:rPr>
          <w:sz w:val="20"/>
          <w:szCs w:val="20"/>
          <w:color w:val="auto"/>
        </w:rPr>
      </w:pPr>
    </w:p>
    <w:tbl>
      <w:tblPr>
        <w:tblLayout w:type="fixed"/>
        <w:tblInd w:w="108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2"/>
                <w:szCs w:val="12"/>
                <w:b w:val="1"/>
                <w:bCs w:val="1"/>
                <w:color w:val="auto"/>
                <w:w w:val="92"/>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Arial" w:cs="Arial" w:eastAsia="Arial" w:hAnsi="Arial"/>
                <w:sz w:val="12"/>
                <w:szCs w:val="12"/>
                <w:b w:val="1"/>
                <w:bCs w:val="1"/>
                <w:color w:val="auto"/>
                <w:w w:val="97"/>
              </w:rPr>
              <w:t>December 31,</w:t>
            </w:r>
          </w:p>
        </w:tc>
      </w:tr>
      <w:tr>
        <w:trPr>
          <w:trHeight w:val="149"/>
        </w:trPr>
        <w:tc>
          <w:tcPr>
            <w:tcW w:w="4080" w:type="dxa"/>
            <w:vAlign w:val="bottom"/>
            <w:tcBorders>
              <w:bottom w:val="single" w:sz="8" w:color="D2EEF5"/>
            </w:tcBorders>
          </w:tcPr>
          <w:p>
            <w:pPr>
              <w:spacing w:after="0"/>
              <w:rPr>
                <w:sz w:val="12"/>
                <w:szCs w:val="12"/>
                <w:color w:val="auto"/>
              </w:rPr>
            </w:pPr>
          </w:p>
        </w:tc>
        <w:tc>
          <w:tcPr>
            <w:tcW w:w="2280" w:type="dxa"/>
            <w:vAlign w:val="bottom"/>
            <w:tcBorders>
              <w:bottom w:val="single" w:sz="8" w:color="D2EEF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bottom w:val="single" w:sz="8" w:color="D2EEF5"/>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2024</w:t>
            </w:r>
          </w:p>
        </w:tc>
      </w:tr>
      <w:tr>
        <w:trPr>
          <w:trHeight w:val="174"/>
        </w:trPr>
        <w:tc>
          <w:tcPr>
            <w:tcW w:w="4080" w:type="dxa"/>
            <w:vAlign w:val="bottom"/>
            <w:shd w:val="clear" w:color="auto" w:fill="D2EEF5"/>
          </w:tcPr>
          <w:p>
            <w:pPr>
              <w:spacing w:after="0"/>
              <w:rPr>
                <w:sz w:val="20"/>
                <w:szCs w:val="20"/>
                <w:color w:val="auto"/>
              </w:rPr>
            </w:pPr>
            <w:r>
              <w:rPr>
                <w:rFonts w:ascii="Arial" w:cs="Arial" w:eastAsia="Arial" w:hAnsi="Arial"/>
                <w:sz w:val="15"/>
                <w:szCs w:val="15"/>
                <w:color w:val="auto"/>
              </w:rPr>
              <w:t>Grant income receivable:</w:t>
            </w:r>
          </w:p>
        </w:tc>
        <w:tc>
          <w:tcPr>
            <w:tcW w:w="22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spacing w:after="0"/>
              <w:rPr>
                <w:sz w:val="15"/>
                <w:szCs w:val="15"/>
                <w:color w:val="auto"/>
              </w:rPr>
            </w:pPr>
          </w:p>
        </w:tc>
      </w:tr>
      <w:tr>
        <w:trPr>
          <w:trHeight w:val="183"/>
        </w:trPr>
        <w:tc>
          <w:tcPr>
            <w:tcW w:w="4080" w:type="dxa"/>
            <w:vAlign w:val="bottom"/>
          </w:tcPr>
          <w:p>
            <w:pPr>
              <w:ind w:left="80"/>
              <w:spacing w:after="0"/>
              <w:rPr>
                <w:sz w:val="20"/>
                <w:szCs w:val="20"/>
                <w:color w:val="auto"/>
              </w:rPr>
            </w:pPr>
            <w:r>
              <w:rPr>
                <w:rFonts w:ascii="Arial" w:cs="Arial" w:eastAsia="Arial" w:hAnsi="Arial"/>
                <w:sz w:val="15"/>
                <w:szCs w:val="15"/>
                <w:color w:val="auto"/>
              </w:rPr>
              <w:t>CPRIT AML Grant</w:t>
            </w:r>
          </w:p>
        </w:tc>
        <w:tc>
          <w:tcPr>
            <w:tcW w:w="2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815,436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2,059,457</w:t>
            </w:r>
          </w:p>
        </w:tc>
      </w:tr>
      <w:tr>
        <w:trPr>
          <w:trHeight w:val="183"/>
        </w:trPr>
        <w:tc>
          <w:tcPr>
            <w:tcW w:w="4080" w:type="dxa"/>
            <w:vAlign w:val="bottom"/>
            <w:shd w:val="clear" w:color="auto" w:fill="D2EEF5"/>
          </w:tcPr>
          <w:p>
            <w:pPr>
              <w:ind w:left="80"/>
              <w:spacing w:after="0"/>
              <w:rPr>
                <w:sz w:val="20"/>
                <w:szCs w:val="20"/>
                <w:color w:val="auto"/>
              </w:rPr>
            </w:pPr>
            <w:r>
              <w:rPr>
                <w:rFonts w:ascii="Arial" w:cs="Arial" w:eastAsia="Arial" w:hAnsi="Arial"/>
                <w:sz w:val="15"/>
                <w:szCs w:val="15"/>
                <w:color w:val="auto"/>
              </w:rPr>
              <w:t>FDA Grant</w:t>
            </w:r>
          </w:p>
        </w:tc>
        <w:tc>
          <w:tcPr>
            <w:tcW w:w="22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3,678</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4080" w:type="dxa"/>
            <w:vAlign w:val="bottom"/>
          </w:tcPr>
          <w:p>
            <w:pPr>
              <w:ind w:left="80"/>
              <w:spacing w:after="0"/>
              <w:rPr>
                <w:sz w:val="20"/>
                <w:szCs w:val="20"/>
                <w:color w:val="auto"/>
              </w:rPr>
            </w:pPr>
            <w:r>
              <w:rPr>
                <w:rFonts w:ascii="Arial" w:cs="Arial" w:eastAsia="Arial" w:hAnsi="Arial"/>
                <w:sz w:val="15"/>
                <w:szCs w:val="15"/>
                <w:color w:val="auto"/>
              </w:rPr>
              <w:t>SBIR AML Grant</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162,897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244,810</w:t>
            </w:r>
          </w:p>
        </w:tc>
      </w:tr>
      <w:tr>
        <w:trPr>
          <w:trHeight w:val="183"/>
        </w:trPr>
        <w:tc>
          <w:tcPr>
            <w:tcW w:w="4080" w:type="dxa"/>
            <w:vAlign w:val="bottom"/>
            <w:shd w:val="clear" w:color="auto" w:fill="D2EEF5"/>
          </w:tcPr>
          <w:p>
            <w:pPr>
              <w:ind w:left="80"/>
              <w:spacing w:after="0"/>
              <w:rPr>
                <w:sz w:val="20"/>
                <w:szCs w:val="20"/>
                <w:color w:val="auto"/>
              </w:rPr>
            </w:pPr>
            <w:r>
              <w:rPr>
                <w:rFonts w:ascii="Arial" w:cs="Arial" w:eastAsia="Arial" w:hAnsi="Arial"/>
                <w:sz w:val="15"/>
                <w:szCs w:val="15"/>
                <w:color w:val="auto"/>
              </w:rPr>
              <w:t>Decoy Grant</w:t>
            </w:r>
          </w:p>
        </w:tc>
        <w:tc>
          <w:tcPr>
            <w:tcW w:w="22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59,501</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5,822</w:t>
            </w:r>
          </w:p>
        </w:tc>
      </w:tr>
      <w:tr>
        <w:trPr>
          <w:trHeight w:val="183"/>
        </w:trPr>
        <w:tc>
          <w:tcPr>
            <w:tcW w:w="4080" w:type="dxa"/>
            <w:vAlign w:val="bottom"/>
          </w:tcPr>
          <w:p>
            <w:pPr>
              <w:ind w:left="80"/>
              <w:spacing w:after="0"/>
              <w:rPr>
                <w:sz w:val="20"/>
                <w:szCs w:val="20"/>
                <w:color w:val="auto"/>
              </w:rPr>
            </w:pPr>
            <w:r>
              <w:rPr>
                <w:rFonts w:ascii="Arial" w:cs="Arial" w:eastAsia="Arial" w:hAnsi="Arial"/>
                <w:sz w:val="15"/>
                <w:szCs w:val="15"/>
                <w:color w:val="auto"/>
              </w:rPr>
              <w:t>SBIR NHL Grant</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87,417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4080" w:type="dxa"/>
            <w:vAlign w:val="bottom"/>
            <w:shd w:val="clear" w:color="auto" w:fill="D2EEF5"/>
          </w:tcPr>
          <w:p>
            <w:pPr>
              <w:ind w:left="80"/>
              <w:spacing w:after="0"/>
              <w:rPr>
                <w:sz w:val="20"/>
                <w:szCs w:val="20"/>
                <w:color w:val="auto"/>
              </w:rPr>
            </w:pPr>
            <w:r>
              <w:rPr>
                <w:rFonts w:ascii="Arial" w:cs="Arial" w:eastAsia="Arial" w:hAnsi="Arial"/>
                <w:sz w:val="15"/>
                <w:szCs w:val="15"/>
                <w:color w:val="auto"/>
              </w:rPr>
              <w:t>PANACEA Grant</w:t>
            </w:r>
          </w:p>
        </w:tc>
        <w:tc>
          <w:tcPr>
            <w:tcW w:w="2280" w:type="dxa"/>
            <w:vAlign w:val="bottom"/>
            <w:shd w:val="clear" w:color="auto" w:fill="D2EEF5"/>
          </w:tcPr>
          <w:p>
            <w:pPr>
              <w:spacing w:after="0"/>
              <w:rPr>
                <w:sz w:val="15"/>
                <w:szCs w:val="15"/>
                <w:color w:val="auto"/>
              </w:rPr>
            </w:pPr>
          </w:p>
        </w:tc>
        <w:tc>
          <w:tcPr>
            <w:tcW w:w="100" w:type="dxa"/>
            <w:vAlign w:val="bottom"/>
            <w:tcBorders>
              <w:bottom w:val="single" w:sz="8" w:color="auto"/>
            </w:tcBorders>
            <w:shd w:val="clear" w:color="auto" w:fill="D2EEF5"/>
          </w:tcPr>
          <w:p>
            <w:pPr>
              <w:spacing w:after="0"/>
              <w:rPr>
                <w:sz w:val="15"/>
                <w:szCs w:val="15"/>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190,052</w:t>
            </w:r>
          </w:p>
        </w:tc>
        <w:tc>
          <w:tcPr>
            <w:tcW w:w="160" w:type="dxa"/>
            <w:vAlign w:val="bottom"/>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spacing w:after="0"/>
              <w:rPr>
                <w:sz w:val="15"/>
                <w:szCs w:val="15"/>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6,502</w:t>
            </w:r>
          </w:p>
        </w:tc>
      </w:tr>
      <w:tr>
        <w:trPr>
          <w:trHeight w:val="174"/>
        </w:trPr>
        <w:tc>
          <w:tcPr>
            <w:tcW w:w="4080" w:type="dxa"/>
            <w:vAlign w:val="bottom"/>
          </w:tcPr>
          <w:p>
            <w:pPr>
              <w:spacing w:after="0"/>
              <w:rPr>
                <w:sz w:val="20"/>
                <w:szCs w:val="20"/>
                <w:color w:val="auto"/>
              </w:rPr>
            </w:pPr>
            <w:r>
              <w:rPr>
                <w:rFonts w:ascii="Arial" w:cs="Arial" w:eastAsia="Arial" w:hAnsi="Arial"/>
                <w:sz w:val="15"/>
                <w:szCs w:val="15"/>
                <w:color w:val="auto"/>
              </w:rPr>
              <w:t>Total grant income receivable</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1,318,981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2,316,591</w:t>
            </w:r>
          </w:p>
        </w:tc>
      </w:tr>
      <w:tr>
        <w:trPr>
          <w:trHeight w:val="183"/>
        </w:trPr>
        <w:tc>
          <w:tcPr>
            <w:tcW w:w="4080" w:type="dxa"/>
            <w:vAlign w:val="bottom"/>
            <w:shd w:val="clear" w:color="auto" w:fill="D2EEF5"/>
          </w:tcPr>
          <w:p>
            <w:pPr>
              <w:spacing w:after="0"/>
              <w:rPr>
                <w:sz w:val="20"/>
                <w:szCs w:val="20"/>
                <w:color w:val="auto"/>
              </w:rPr>
            </w:pPr>
            <w:r>
              <w:rPr>
                <w:rFonts w:ascii="Arial" w:cs="Arial" w:eastAsia="Arial" w:hAnsi="Arial"/>
                <w:sz w:val="15"/>
                <w:szCs w:val="15"/>
                <w:color w:val="auto"/>
              </w:rPr>
              <w:t>Interest receivable</w:t>
            </w:r>
          </w:p>
        </w:tc>
        <w:tc>
          <w:tcPr>
            <w:tcW w:w="22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50,419</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28,112</w:t>
            </w:r>
          </w:p>
        </w:tc>
      </w:tr>
      <w:tr>
        <w:trPr>
          <w:trHeight w:val="183"/>
        </w:trPr>
        <w:tc>
          <w:tcPr>
            <w:tcW w:w="408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Other</w:t>
            </w:r>
          </w:p>
        </w:tc>
        <w:tc>
          <w:tcPr>
            <w:tcW w:w="2280" w:type="dxa"/>
            <w:vAlign w:val="bottom"/>
            <w:tcBorders>
              <w:bottom w:val="single" w:sz="8" w:color="D2EE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2EE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w:t>
            </w:r>
          </w:p>
        </w:tc>
      </w:tr>
      <w:tr>
        <w:trPr>
          <w:trHeight w:val="174"/>
        </w:trPr>
        <w:tc>
          <w:tcPr>
            <w:tcW w:w="40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Total other receivable</w:t>
            </w:r>
          </w:p>
        </w:tc>
        <w:tc>
          <w:tcPr>
            <w:tcW w:w="2280" w:type="dxa"/>
            <w:vAlign w:val="bottom"/>
            <w:tcBorders>
              <w:bottom w:val="single" w:sz="8" w:color="D2EEF5"/>
            </w:tcBorders>
            <w:shd w:val="clear" w:color="auto" w:fill="D2EEF5"/>
          </w:tcPr>
          <w:p>
            <w:pPr>
              <w:spacing w:after="0"/>
              <w:rPr>
                <w:sz w:val="15"/>
                <w:szCs w:val="15"/>
                <w:color w:val="auto"/>
              </w:rPr>
            </w:pPr>
          </w:p>
        </w:tc>
        <w:tc>
          <w:tcPr>
            <w:tcW w:w="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shd w:val="clear" w:color="auto" w:fill="D2EEF5"/>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shd w:val="clear" w:color="auto" w:fill="D2EEF5"/>
              </w:rPr>
              <w:t>1,369,400</w:t>
            </w:r>
          </w:p>
        </w:tc>
        <w:tc>
          <w:tcPr>
            <w:tcW w:w="160" w:type="dxa"/>
            <w:vAlign w:val="bottom"/>
            <w:tcBorders>
              <w:bottom w:val="single" w:sz="8" w:color="D2EEF5"/>
            </w:tcBorders>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color w:val="auto"/>
                <w:w w:val="71"/>
                <w:shd w:val="clear" w:color="auto" w:fill="D2EEF5"/>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2,346,703</w:t>
            </w:r>
          </w:p>
        </w:tc>
      </w:tr>
      <w:tr>
        <w:trPr>
          <w:trHeight w:val="20"/>
        </w:trPr>
        <w:tc>
          <w:tcPr>
            <w:tcW w:w="4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As of December 31, 2025, we had working capital of $16.8 million, compared to working capital of $18.6 million as of December 31, 2024. Operating expenses incurred during the fiscal year ended December 31, 2025 were $16.5 million compared to $17.7 million in the prior year. Based on our lack of recurring revenues, anticipated uses of cash and historical recurring cash losses from operating activities, and cash and cash equivalents as of December 31, 2025, we anticipate that we will be able to fund our operating expenses and capital expenditure requirements through the fourth quarter of 2026, assuming no additional grant funds are received. We currently plan to raise additional capital through the issuance of common shares and receive additional grant funds, which could enable us to fund our operating expenses and capital expenditure requirements beyond the fourth quarter of 2026,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41" w:lineRule="exact"/>
        <w:rPr>
          <w:sz w:val="20"/>
          <w:szCs w:val="20"/>
          <w:color w:val="auto"/>
        </w:rPr>
      </w:pPr>
    </w:p>
    <w:p>
      <w:pPr>
        <w:ind w:left="860" w:hanging="280"/>
        <w:spacing w:after="0"/>
        <w:tabs>
          <w:tab w:leader="none" w:pos="8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initiate or continue clinical trials of our product candidates;</w:t>
      </w:r>
    </w:p>
    <w:p>
      <w:pPr>
        <w:spacing w:after="0" w:line="193" w:lineRule="exact"/>
        <w:rPr>
          <w:rFonts w:ascii="Arial" w:cs="Arial" w:eastAsia="Arial" w:hAnsi="Arial"/>
          <w:sz w:val="15"/>
          <w:szCs w:val="15"/>
          <w:color w:val="auto"/>
        </w:rPr>
      </w:pPr>
    </w:p>
    <w:p>
      <w:pPr>
        <w:ind w:left="860" w:hanging="280"/>
        <w:spacing w:after="0" w:line="299" w:lineRule="auto"/>
        <w:tabs>
          <w:tab w:leader="none" w:pos="8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continue the research and development of our product candidates and seek to discover additional product candidates; seek regulatory approvals for our product candidates if they successfully complete clinical trials;</w:t>
      </w:r>
    </w:p>
    <w:p>
      <w:pPr>
        <w:spacing w:after="0" w:line="119" w:lineRule="exact"/>
        <w:rPr>
          <w:rFonts w:ascii="Arial" w:cs="Arial" w:eastAsia="Arial" w:hAnsi="Arial"/>
          <w:sz w:val="15"/>
          <w:szCs w:val="15"/>
          <w:color w:val="auto"/>
        </w:rPr>
      </w:pPr>
    </w:p>
    <w:p>
      <w:pPr>
        <w:ind w:left="860" w:hanging="281"/>
        <w:spacing w:after="0"/>
        <w:tabs>
          <w:tab w:leader="none" w:pos="8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continue development of our manufacturing capabilities;</w:t>
      </w:r>
    </w:p>
    <w:p>
      <w:pPr>
        <w:spacing w:after="0" w:line="193" w:lineRule="exact"/>
        <w:rPr>
          <w:rFonts w:ascii="Arial" w:cs="Arial" w:eastAsia="Arial" w:hAnsi="Arial"/>
          <w:sz w:val="15"/>
          <w:szCs w:val="15"/>
          <w:color w:val="auto"/>
        </w:rPr>
      </w:pPr>
    </w:p>
    <w:p>
      <w:pPr>
        <w:ind w:left="860" w:hanging="281"/>
        <w:spacing w:after="0" w:line="299" w:lineRule="auto"/>
        <w:tabs>
          <w:tab w:leader="none" w:pos="8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establish sales, marketing and distribution infrastructure and scale-up manufacturing capabilities to commercialize any product candidates that may receive regulatory approval;</w:t>
      </w:r>
    </w:p>
    <w:p>
      <w:pPr>
        <w:spacing w:after="0" w:line="119" w:lineRule="exact"/>
        <w:rPr>
          <w:rFonts w:ascii="Arial" w:cs="Arial" w:eastAsia="Arial" w:hAnsi="Arial"/>
          <w:sz w:val="15"/>
          <w:szCs w:val="15"/>
          <w:color w:val="auto"/>
        </w:rPr>
      </w:pPr>
    </w:p>
    <w:p>
      <w:pPr>
        <w:ind w:left="860" w:hanging="281"/>
        <w:spacing w:after="0"/>
        <w:tabs>
          <w:tab w:leader="none" w:pos="8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evaluate strategic transactions we may undertake; and</w:t>
      </w:r>
    </w:p>
    <w:p>
      <w:pPr>
        <w:spacing w:after="0" w:line="193" w:lineRule="exact"/>
        <w:rPr>
          <w:rFonts w:ascii="Arial" w:cs="Arial" w:eastAsia="Arial" w:hAnsi="Arial"/>
          <w:sz w:val="15"/>
          <w:szCs w:val="15"/>
          <w:color w:val="auto"/>
        </w:rPr>
      </w:pPr>
    </w:p>
    <w:p>
      <w:pPr>
        <w:ind w:left="860" w:hanging="281"/>
        <w:spacing w:after="0" w:line="299" w:lineRule="auto"/>
        <w:tabs>
          <w:tab w:leader="none" w:pos="8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4" w:orient="portrait"/>
          <w:cols w:equalWidth="0" w:num="1">
            <w:col w:w="10640"/>
          </w:cols>
          <w:pgMar w:left="620" w:top="1440" w:right="634" w:bottom="115"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ATM Agreement</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August 2021, we entered into a Controlled Equity Offering</w:t>
      </w:r>
      <w:r>
        <w:rPr>
          <w:rFonts w:ascii="Arial" w:cs="Arial" w:eastAsia="Arial" w:hAnsi="Arial"/>
          <w:sz w:val="20"/>
          <w:szCs w:val="20"/>
          <w:color w:val="auto"/>
          <w:vertAlign w:val="superscript"/>
        </w:rPr>
        <w:t>SM</w:t>
      </w:r>
      <w:r>
        <w:rPr>
          <w:rFonts w:ascii="Arial" w:cs="Arial" w:eastAsia="Arial" w:hAnsi="Arial"/>
          <w:sz w:val="14"/>
          <w:szCs w:val="14"/>
          <w:color w:val="auto"/>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year ended December 31, 2024, the Company sold 8,178 shares of its common stock under the ATM Agreement resulting in net proceeds of approximately $37,000, after deducting agent commissions. On June 10, 2024, the Company provided notice of its termination of the ATM Agreement with Cantor Fitzgerald &amp; Co. and RBC Capital Markets, LLC. The Company is not subject to any termination penalties related to the termination of the ATM Agreement.</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In November 2024, we entered into an At The Market Offering Agreement (the “Sales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 may sell under the registration statement and in accordance with the ATM agreement. H.C. Wainwright &amp; Co. LLC will be entitled to compensation under the Sales Agreement at a commission rate equal to 3.0% of the gross sales price per share sold under the ATM Agreement, and we have provided H.C. Wainwright &amp; Co. LLC with indemnification and contribution rights.</w:t>
      </w:r>
    </w:p>
    <w:p>
      <w:pPr>
        <w:spacing w:after="0" w:line="14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Between July 17 and 21, 2025, the Company sold 1,624,075 shares of common stock pursuant to our ATM Agreement with H.C. Wainwright &amp; Co., LLC for net proceeds of $4.5 million, after deducting agent commissions, at an average price of $2.87 per share.</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August 26, 2025, the Company sold 3,734,217 shares of common stock pursuant to the ATM Agreement with H.C. Wainwright &amp; Co., LLC for net proceeds of $5.4 million, after deducting agent commissions, at an average price of $1.48 per share.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Private Placement</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4" w:orient="portrait"/>
          <w:cols w:equalWidth="0" w:num="1">
            <w:col w:w="10640"/>
          </w:cols>
          <w:pgMar w:left="620" w:top="1440" w:right="634" w:bottom="115" w:gutter="0" w:footer="0" w:header="0"/>
          <w:type w:val="continuous"/>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Going Concern</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no sources of revenue, other than grant income, to provide incoming cash flows to sustain our future operations. As outlined above, our ability to pursue our long-term planned business activities is dependent upon our successful efforts to raise additional capital.</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Critical Accounting Policies and Estimates</w:t>
      </w:r>
    </w:p>
    <w:p>
      <w:pPr>
        <w:spacing w:after="0" w:line="192" w:lineRule="exact"/>
        <w:rPr>
          <w:sz w:val="20"/>
          <w:szCs w:val="20"/>
          <w:color w:val="auto"/>
        </w:rPr>
      </w:pPr>
    </w:p>
    <w:p>
      <w:pPr>
        <w:jc w:val="both"/>
        <w:spacing w:after="0" w:line="382" w:lineRule="auto"/>
        <w:rPr>
          <w:sz w:val="20"/>
          <w:szCs w:val="20"/>
          <w:color w:val="auto"/>
        </w:rPr>
      </w:pPr>
      <w:r>
        <w:rPr>
          <w:rFonts w:ascii="Arial" w:cs="Arial" w:eastAsia="Arial" w:hAnsi="Arial"/>
          <w:sz w:val="13"/>
          <w:szCs w:val="13"/>
          <w:color w:val="auto"/>
        </w:rPr>
        <w:t>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 Company’s critical accounting policies include grant income, which is discussed further below. The Company does not have any critical accounting estimates.</w:t>
      </w:r>
    </w:p>
    <w:p>
      <w:pPr>
        <w:spacing w:after="0" w:line="20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Grant Income</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we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For grant and awards outside the scope of ASC 808, the Company applies either ASC 606 or IAS 20 by analogy depending on if the arrangement is considered an exchange or non-exchange transaction, respectively. Under both accounting frameworks, revenue is recognized when the Company incurs expenses related to the grants for the amount the Company is entitled to under the provisions of the contract. During the two years ended December 31, 2025, the Company did not participate in any collaboration agreements.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recognizes grant income when amounts eligible for reimbursement are determinable and have been incurred, the applicable conditions under the grant arrangements have been met, and collectability of amounts due is reasonably assured or already received. The classification of costs incurred related to grants is based on the nature of the activities performed by the Company. Grant Income is recognized when the related costs are incurred. 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 Not Yet Adopted</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4" w:orient="portrait"/>
          <w:cols w:equalWidth="0" w:num="1">
            <w:col w:w="10640"/>
          </w:cols>
          <w:pgMar w:left="620" w:top="1440" w:right="634" w:bottom="115"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Government Grants (Topic 832): Accounting for Government Grants Received by Business Entities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December 2025, the FASB issued ASU 2025-10, Government Grants (Topic 832): Accounting for Government Grants Received by Business Entities. The new standard is intended to establish authoritative guidance on the accounting for government grants received by business entities and reduce diversity in practice. The amendments establish the timing and methods of recognition of both (1) a grant related to an asset and (2) a grant related to income. The amendments also require certain disclosures including the nature of the grant received, the accounting policies used to account for the grant, and significant terms and conditions for the grant. The new guidance is effective for annual reporting periods beginning after December 15, 2028, and interim reporting periods within those annual reporting periods. Early adoption is permitted. The new guidance may be applied on a modified prospective basis, modified retrospective basis, or full retrospective basis. The Company is currently evaluating the impact of ASU 2025-10 on its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Statement – Reporting Comprehensive Income – Expense Disaggregation Disclosures</w:t>
      </w:r>
    </w:p>
    <w:p>
      <w:pPr>
        <w:spacing w:after="0" w:line="191"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Loss and Credit Carryforwards</w:t>
      </w:r>
    </w:p>
    <w:p>
      <w:pPr>
        <w:spacing w:after="0" w:line="196" w:lineRule="exact"/>
        <w:rPr>
          <w:sz w:val="20"/>
          <w:szCs w:val="20"/>
          <w:color w:val="auto"/>
        </w:rPr>
      </w:pPr>
    </w:p>
    <w:p>
      <w:pPr>
        <w:jc w:val="both"/>
        <w:ind w:firstLine="1"/>
        <w:spacing w:after="0" w:line="285" w:lineRule="auto"/>
        <w:rPr>
          <w:sz w:val="20"/>
          <w:szCs w:val="20"/>
          <w:color w:val="auto"/>
        </w:rPr>
      </w:pPr>
      <w:r>
        <w:rPr>
          <w:rFonts w:ascii="Arial" w:cs="Arial" w:eastAsia="Arial" w:hAnsi="Arial"/>
          <w:sz w:val="14"/>
          <w:szCs w:val="14"/>
          <w:color w:val="auto"/>
        </w:rPr>
        <w:t>As of December 31, 2025, we have approximately $186.8 million of federal and $38.6 million of state net operating loss carryforwards that may be available to offset future taxable income, if any. The federal net operating loss carryforwards of $38.4 million, if not utilized, will expire between 2030 and 2037. The federal net operating loss carryforwards of $148.4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$16.7 million 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spacing w:after="0" w:line="134"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At December 31, 2025 and 2024, we recorded a 100% valuation allowance against our deferred tax assets of approximately $43.3 million and $41.0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Inflation</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4" w:orient="portrait"/>
          <w:cols w:equalWidth="0" w:num="1">
            <w:col w:w="10640"/>
          </w:cols>
          <w:pgMar w:left="620" w:top="1440" w:right="634" w:bottom="115"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are a smaller reporting company as defined by Rule 12b-2 of the Exchange Act and are not required to provide the information required under this item.</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are incorporated herein by reference to pages beginning on page F-1 at the end of this report and the supplementary data is 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We have had no changes in, or disagreements with our principal independent accountants.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2025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2025. Based on that evaluation, our principal executive officer and principal financial officer concluded that our disclosure controls and procedures were effective as of December 31, 2025 to provide reasonable assurance that the information required to be disclosed by us in this Annual Report was (a) reported within the time periods specified by SEC rules and regulations and (b) communicated to our management, including our Chief Executive Officer and Principal Financial Officer, to allow timely decisions regarding any required disclosure.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Management’s Report on Internal Control Over Financial Reporting</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2025 based on the framework in Internal Control— Integrated Framework 2013 issued by the Committee of Sponsoring Organizations of the Treadway Commission (COSO). Based on that evaluation, our management concluded that our internal control over financial reporting was effective as of December 31, 2025.</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Cybersecurity</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utilize information technology for internal and external communications with vendors, clinical sites, banks, investors and shareholders. Loss, disruption or compromise of these systems could significantly impact operations and results.</w:t>
      </w:r>
    </w:p>
    <w:p>
      <w:pPr>
        <w:spacing w:after="0" w:line="119" w:lineRule="exact"/>
        <w:rPr>
          <w:sz w:val="20"/>
          <w:szCs w:val="20"/>
          <w:color w:val="auto"/>
        </w:rPr>
      </w:pPr>
    </w:p>
    <w:p>
      <w:pPr>
        <w:jc w:val="both"/>
        <w:ind w:firstLine="1"/>
        <w:spacing w:after="0" w:line="337" w:lineRule="auto"/>
        <w:rPr>
          <w:sz w:val="20"/>
          <w:szCs w:val="20"/>
          <w:color w:val="auto"/>
        </w:rPr>
      </w:pPr>
      <w:r>
        <w:rPr>
          <w:rFonts w:ascii="Arial" w:cs="Arial" w:eastAsia="Arial" w:hAnsi="Arial"/>
          <w:sz w:val="14"/>
          <w:szCs w:val="14"/>
          <w:color w:val="auto"/>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4" w:orient="portrait"/>
          <w:cols w:equalWidth="0" w:num="1">
            <w:col w:w="10640"/>
          </w:cols>
          <w:pgMar w:left="620" w:top="1440" w:right="634" w:bottom="115"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192"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There were no changes in our internal control over financial reporting (as defined in Exchange Act Rules 13a-15(f) and 15d-15(f)) during the fiscal quarter ended December 31, 2025 that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Inherent Limitations on Effectiveness of Internal Controls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96" w:lineRule="exact"/>
        <w:rPr>
          <w:sz w:val="20"/>
          <w:szCs w:val="20"/>
          <w:color w:val="auto"/>
        </w:rPr>
      </w:pPr>
    </w:p>
    <w:p>
      <w:pPr>
        <w:ind w:left="560" w:hanging="278"/>
        <w:spacing w:after="0" w:line="299" w:lineRule="auto"/>
        <w:tabs>
          <w:tab w:leader="none" w:pos="560"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Rule 10b5–1 trading arrangement. </w:t>
      </w:r>
      <w:r>
        <w:rPr>
          <w:rFonts w:ascii="Arial" w:cs="Arial" w:eastAsia="Arial" w:hAnsi="Arial"/>
          <w:sz w:val="15"/>
          <w:szCs w:val="15"/>
          <w:color w:val="auto"/>
        </w:rPr>
        <w:t>During the fourth quarter of 2025, no director or Section 16 officer adopted or terminated any Rule 10b5-1 plan or non-Rule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10b5-1 trading arrangements.</w:t>
      </w:r>
    </w:p>
    <w:p>
      <w:pPr>
        <w:spacing w:after="0" w:line="117" w:lineRule="exact"/>
        <w:rPr>
          <w:sz w:val="20"/>
          <w:szCs w:val="20"/>
          <w:color w:val="auto"/>
        </w:rPr>
      </w:pPr>
    </w:p>
    <w:p>
      <w:pPr>
        <w:ind w:right="3660"/>
        <w:spacing w:after="0" w:line="557" w:lineRule="auto"/>
        <w:rPr>
          <w:sz w:val="20"/>
          <w:szCs w:val="20"/>
          <w:color w:val="auto"/>
        </w:rPr>
      </w:pPr>
      <w:r>
        <w:rPr>
          <w:rFonts w:ascii="Arial" w:cs="Arial" w:eastAsia="Arial" w:hAnsi="Arial"/>
          <w:sz w:val="15"/>
          <w:szCs w:val="15"/>
          <w:b w:val="1"/>
          <w:bCs w:val="1"/>
          <w:color w:val="auto"/>
        </w:rPr>
        <w:t xml:space="preserve">ITEM 9C. DISCLOSURE REGARDING FOREIGN JURISDICTIONS THAT PREVENT INSPECTIONS </w:t>
      </w:r>
      <w:r>
        <w:rPr>
          <w:rFonts w:ascii="Arial" w:cs="Arial" w:eastAsia="Arial" w:hAnsi="Arial"/>
          <w:sz w:val="15"/>
          <w:szCs w:val="15"/>
          <w:color w:val="auto"/>
        </w:rPr>
        <w:t>Not applicable.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4" w:orient="portrait"/>
          <w:cols w:equalWidth="0" w:num="1">
            <w:col w:w="10640"/>
          </w:cols>
          <w:pgMar w:left="620" w:top="1440" w:right="634" w:bottom="115"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20"/>
        <w:spacing w:after="0"/>
        <w:rPr>
          <w:sz w:val="20"/>
          <w:szCs w:val="20"/>
          <w:color w:val="auto"/>
        </w:rPr>
      </w:pPr>
      <w:r>
        <w:rPr>
          <w:rFonts w:ascii="Arial" w:cs="Arial" w:eastAsia="Arial" w:hAnsi="Arial"/>
          <w:sz w:val="15"/>
          <w:szCs w:val="15"/>
          <w:b w:val="1"/>
          <w:bCs w:val="1"/>
          <w:u w:val="single" w:color="auto"/>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information required by this item and not set forth below will be set forth in the sections headed “Election of Directors,” “Executive Officers” and “Delinquent Section 16(a) Reports” in our definitive proxy statement for our 2024 Annual Meeting of Stockholders, or our Proxy Statement, to be filed with the SEC within 120 days after the end of the fiscal year ended December 31, 2025 and is incorporated herein by reference.</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46"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will be set forth in the section headed “Executive Compensation” in our Proxy Statement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information required by this item will be set forth in the section headed “Securities Authorized for Issuance Under Equity Compensation Plans” and “Security Ownership of Certain Beneficial Owners and Management” in our Proxy Statement and is incorporated herein by reference.</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information required by Item 201(d) of Regulation S-K will be set forth in the section headed “Executive Compensation” and “Information Regarding the Board of Directors and Corporate Governance” in our Proxy Statement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information required by this item will be set forth in the section headed “Transactions with Related Persons and Indemnification” and “Information Regarding the Board of Directors and Corporate Governance” in our Proxy Statement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ACCOUNTING FEES AND SERVICES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information required by this item will be set forth in the section headed “Principal Accountant Fees and Services” in our Proxy Statement and is incorporated herein by reference.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4" w:orient="portrait"/>
          <w:cols w:equalWidth="0" w:num="1">
            <w:col w:w="10640"/>
          </w:cols>
          <w:pgMar w:left="620" w:top="1440" w:right="634" w:bottom="115"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FINANCIAL STATEMENT SCHEDULES</w:t>
      </w:r>
    </w:p>
    <w:p>
      <w:pPr>
        <w:spacing w:after="0" w:line="196" w:lineRule="exact"/>
        <w:rPr>
          <w:sz w:val="20"/>
          <w:szCs w:val="20"/>
          <w:color w:val="auto"/>
        </w:rPr>
      </w:pPr>
    </w:p>
    <w:p>
      <w:pPr>
        <w:ind w:left="460" w:hanging="453"/>
        <w:spacing w:after="0"/>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documents filed as part of this report are as follows:</w:t>
      </w:r>
    </w:p>
    <w:p>
      <w:pPr>
        <w:spacing w:after="0" w:line="194" w:lineRule="exact"/>
        <w:rPr>
          <w:sz w:val="20"/>
          <w:szCs w:val="20"/>
          <w:color w:val="auto"/>
        </w:rPr>
      </w:pPr>
    </w:p>
    <w:p>
      <w:pPr>
        <w:ind w:left="460" w:hanging="453"/>
        <w:spacing w:after="0" w:line="299"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financial statements and accompanying report of independent registered public accounting firm are set forth immediately following the signature page of this report beginning on page F-1.</w:t>
      </w:r>
    </w:p>
    <w:p>
      <w:pPr>
        <w:spacing w:after="0" w:line="119" w:lineRule="exact"/>
        <w:rPr>
          <w:rFonts w:ascii="Arial" w:cs="Arial" w:eastAsia="Arial" w:hAnsi="Arial"/>
          <w:sz w:val="15"/>
          <w:szCs w:val="15"/>
          <w:color w:val="auto"/>
        </w:rPr>
      </w:pPr>
    </w:p>
    <w:p>
      <w:pPr>
        <w:ind w:left="460" w:hanging="452"/>
        <w:spacing w:after="0" w:line="299"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All financial statement schedules are omitted because they are inapplicable, not required or the information is included elsewhere in the financial statements or the notes thereto.</w:t>
      </w:r>
    </w:p>
    <w:p>
      <w:pPr>
        <w:spacing w:after="0" w:line="119" w:lineRule="exact"/>
        <w:rPr>
          <w:rFonts w:ascii="Arial" w:cs="Arial" w:eastAsia="Arial" w:hAnsi="Arial"/>
          <w:sz w:val="15"/>
          <w:szCs w:val="15"/>
          <w:color w:val="auto"/>
        </w:rPr>
      </w:pPr>
    </w:p>
    <w:p>
      <w:pPr>
        <w:ind w:left="460" w:hanging="453"/>
        <w:spacing w:after="0"/>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following is a list of exhibits filed as part of this Annual Report on Form 10-K.</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4" w:orient="portrait"/>
          <w:cols w:equalWidth="0" w:num="1">
            <w:col w:w="10640"/>
          </w:cols>
          <w:pgMar w:left="620" w:top="1440" w:right="634" w:bottom="115"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EXHIBIT 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Exhibit</w:t>
            </w:r>
          </w:p>
        </w:tc>
        <w:tc>
          <w:tcPr>
            <w:tcW w:w="2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2"/>
                <w:szCs w:val="12"/>
                <w:b w:val="1"/>
                <w:bCs w:val="1"/>
                <w:color w:val="auto"/>
              </w:rPr>
              <w:t>Incorporated by Reference</w:t>
            </w:r>
          </w:p>
        </w:tc>
        <w:tc>
          <w:tcPr>
            <w:tcW w:w="8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Filed</w:t>
            </w:r>
          </w:p>
        </w:tc>
        <w:tc>
          <w:tcPr>
            <w:tcW w:w="0" w:type="dxa"/>
            <w:vAlign w:val="bottom"/>
          </w:tcPr>
          <w:p>
            <w:pPr>
              <w:spacing w:after="0"/>
              <w:rPr>
                <w:sz w:val="1"/>
                <w:szCs w:val="1"/>
                <w:color w:val="auto"/>
              </w:rPr>
            </w:pPr>
          </w:p>
        </w:tc>
      </w:tr>
      <w:tr>
        <w:trPr>
          <w:trHeight w:val="94"/>
        </w:trPr>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80" w:type="dxa"/>
            <w:vAlign w:val="bottom"/>
            <w:vMerge w:val="restart"/>
          </w:tcPr>
          <w:p>
            <w:pPr>
              <w:ind w:left="1940"/>
              <w:spacing w:after="0"/>
              <w:rPr>
                <w:sz w:val="20"/>
                <w:szCs w:val="20"/>
                <w:color w:val="auto"/>
              </w:rPr>
            </w:pPr>
            <w:r>
              <w:rPr>
                <w:rFonts w:ascii="Arial" w:cs="Arial" w:eastAsia="Arial" w:hAnsi="Arial"/>
                <w:sz w:val="12"/>
                <w:szCs w:val="12"/>
                <w:b w:val="1"/>
                <w:bCs w:val="1"/>
                <w:color w:val="auto"/>
              </w:rPr>
              <w:t>Exhibit description</w:t>
            </w:r>
          </w:p>
        </w:tc>
        <w:tc>
          <w:tcPr>
            <w:tcW w:w="180" w:type="dxa"/>
            <w:vAlign w:val="bottom"/>
            <w:vMerge w:val="restart"/>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200" w:type="dxa"/>
            <w:vAlign w:val="bottom"/>
            <w:vMerge w:val="restart"/>
          </w:tcPr>
          <w:p>
            <w:pPr>
              <w:spacing w:after="0"/>
              <w:rPr>
                <w:sz w:val="8"/>
                <w:szCs w:val="8"/>
                <w:color w:val="auto"/>
              </w:rPr>
            </w:pPr>
          </w:p>
        </w:tc>
        <w:tc>
          <w:tcPr>
            <w:tcW w:w="9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File no.</w:t>
            </w:r>
          </w:p>
        </w:tc>
        <w:tc>
          <w:tcPr>
            <w:tcW w:w="200" w:type="dxa"/>
            <w:vAlign w:val="bottom"/>
            <w:vMerge w:val="restart"/>
          </w:tcPr>
          <w:p>
            <w:pPr>
              <w:spacing w:after="0"/>
              <w:rPr>
                <w:sz w:val="8"/>
                <w:szCs w:val="8"/>
                <w:color w:val="auto"/>
              </w:rPr>
            </w:pPr>
          </w:p>
        </w:tc>
        <w:tc>
          <w:tcPr>
            <w:tcW w:w="8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Exhibit</w:t>
            </w:r>
          </w:p>
        </w:tc>
        <w:tc>
          <w:tcPr>
            <w:tcW w:w="180" w:type="dxa"/>
            <w:vAlign w:val="bottom"/>
            <w:vMerge w:val="restart"/>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Filing</w:t>
            </w: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2"/>
                <w:szCs w:val="12"/>
                <w:color w:val="auto"/>
              </w:rPr>
            </w:pPr>
          </w:p>
        </w:tc>
        <w:tc>
          <w:tcPr>
            <w:tcW w:w="488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date</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herewith</w:t>
            </w: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Certificate of Incorporation</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3.4</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2"/>
              </w:rPr>
              <w:t>10/17/18</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3.2</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Certificate of Amendment to Certificate of Incorporation of Marker</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Therapeutics, Inc.</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1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5/27/22</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3.3</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Certificate of Amendment to Certificate of Incorporation of Marker</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Therapeutics, Inc.</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1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1/26/23</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3.4</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Bylaws of Marker Therapeutics, Inc.</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3.6</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2"/>
              </w:rPr>
              <w:t>10/17/18</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4.0</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Form of Common Stock Certificate of Marker Therapeutics, Inc.</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10-K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4.0</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3/25/24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Description of Securities of Marker Therapeutics, Inc.</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10-K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3/25/24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Form of Pre-Funded Warrant</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2"/>
              </w:rPr>
              <w:t>12/23/24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4.3</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Form of Series A Warrant (Private Placement Warrant)</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4.2</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2"/>
              </w:rPr>
              <w:t>12/23/24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88"/>
              </w:rPr>
              <w:t>10.1</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w w:val="96"/>
              </w:rPr>
              <w:t>Exclusive License Agreement between Baylor College of Medicine and Marker</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Therapeutics, Inc. dated March 16, 2018***</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10-K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10.21</w:t>
            </w:r>
          </w:p>
        </w:tc>
        <w:tc>
          <w:tcPr>
            <w:tcW w:w="1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3/15/19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10.2</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w w:val="95"/>
              </w:rPr>
              <w:t>Sponsored Research Contract between Baylor College of Medicine and Marker</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Therapeutics, Inc. dated November 16, 2018***</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10-K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10.22</w:t>
            </w:r>
          </w:p>
        </w:tc>
        <w:tc>
          <w:tcPr>
            <w:tcW w:w="1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3/15/19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10.3</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Form of Director and Officer Indemnification Agreement*</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10-K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0"/>
              </w:rPr>
              <w:t>10.39</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3/15/19</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10.4</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Marker Therapeutics, Inc. 2020 Equity Incentive Plan</w:t>
            </w:r>
          </w:p>
        </w:tc>
        <w:tc>
          <w:tcPr>
            <w:tcW w:w="7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S-8</w:t>
            </w: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333-239136</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99.1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6/12/20</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10.5</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w w:val="96"/>
              </w:rPr>
              <w:t>Marker Therapeutics, Inc. 2020 Equity Incentive Plan, as amended on May 24,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100" w:type="dxa"/>
            <w:vAlign w:val="bottom"/>
            <w:gridSpan w:val="2"/>
          </w:tcPr>
          <w:p>
            <w:pPr>
              <w:ind w:left="220"/>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S-8</w:t>
            </w: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333-266797</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4.4</w:t>
            </w:r>
          </w:p>
        </w:tc>
        <w:tc>
          <w:tcPr>
            <w:tcW w:w="1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8/11/22</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10.6</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Form of Stock Option Grant Notice and Stock Option Agreement under the</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Marker Therapeutics, Inc. 2020 Equity Incentive Plan.</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w w:val="95"/>
              </w:rPr>
              <w:t>10-Q</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10.1</w:t>
            </w:r>
          </w:p>
        </w:tc>
        <w:tc>
          <w:tcPr>
            <w:tcW w:w="1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11/9/20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10.7</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Securities Purchase Agreement dated December 19, 2024</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2"/>
              </w:rPr>
              <w:t>12/19/24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10.8</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Registration Rights dated December 19, 2024</w:t>
            </w:r>
          </w:p>
        </w:tc>
        <w:tc>
          <w:tcPr>
            <w:tcW w:w="700" w:type="dxa"/>
            <w:vAlign w:val="bottom"/>
            <w:gridSpan w:val="2"/>
          </w:tcPr>
          <w:p>
            <w:pPr>
              <w:jc w:val="center"/>
              <w:ind w:right="180"/>
              <w:spacing w:after="0"/>
              <w:rPr>
                <w:sz w:val="20"/>
                <w:szCs w:val="20"/>
                <w:color w:val="auto"/>
              </w:rPr>
            </w:pPr>
            <w:r>
              <w:rPr>
                <w:rFonts w:ascii="Arial" w:cs="Arial" w:eastAsia="Arial" w:hAnsi="Arial"/>
                <w:sz w:val="15"/>
                <w:szCs w:val="15"/>
                <w:color w:val="auto"/>
              </w:rPr>
              <w:t>8-K</w:t>
            </w:r>
          </w:p>
        </w:tc>
        <w:tc>
          <w:tcPr>
            <w:tcW w:w="92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10.2</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2"/>
              </w:rPr>
              <w:t>12/23/24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10.9</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w w:val="98"/>
              </w:rPr>
              <w:t>At The Market Offering Agreement, dated as of November 27, 2024, between</w:t>
            </w:r>
          </w:p>
        </w:tc>
        <w:tc>
          <w:tcPr>
            <w:tcW w:w="7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S-3</w:t>
            </w:r>
          </w:p>
        </w:tc>
        <w:tc>
          <w:tcPr>
            <w:tcW w:w="920" w:type="dxa"/>
            <w:vAlign w:val="bottom"/>
          </w:tcPr>
          <w:p>
            <w:pPr>
              <w:jc w:val="center"/>
              <w:spacing w:after="0"/>
              <w:rPr>
                <w:sz w:val="20"/>
                <w:szCs w:val="20"/>
                <w:color w:val="auto"/>
              </w:rPr>
            </w:pPr>
            <w:r>
              <w:rPr>
                <w:rFonts w:ascii="Arial" w:cs="Arial" w:eastAsia="Arial" w:hAnsi="Arial"/>
                <w:sz w:val="15"/>
                <w:szCs w:val="15"/>
                <w:color w:val="auto"/>
                <w:w w:val="92"/>
              </w:rPr>
              <w:t>333-283515</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1.1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2"/>
              </w:rPr>
              <w:t>11/27/24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the Company and H.C. Wainwright &amp; Co., LLC</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14.1</w:t>
            </w:r>
          </w:p>
        </w:tc>
        <w:tc>
          <w:tcPr>
            <w:tcW w:w="5280" w:type="dxa"/>
            <w:vAlign w:val="bottom"/>
            <w:gridSpan w:val="3"/>
          </w:tcPr>
          <w:p>
            <w:pPr>
              <w:ind w:left="220"/>
              <w:spacing w:after="0"/>
              <w:rPr>
                <w:sz w:val="20"/>
                <w:szCs w:val="20"/>
                <w:color w:val="auto"/>
              </w:rPr>
            </w:pPr>
            <w:r>
              <w:rPr>
                <w:rFonts w:ascii="Arial" w:cs="Arial" w:eastAsia="Arial" w:hAnsi="Arial"/>
                <w:sz w:val="15"/>
                <w:szCs w:val="15"/>
                <w:color w:val="auto"/>
              </w:rPr>
              <w:t>Code of Ethics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4" w:orient="portrait"/>
          <w:cols w:equalWidth="0" w:num="1">
            <w:col w:w="10640"/>
          </w:cols>
          <w:pgMar w:left="620" w:top="1440" w:right="634" w:bottom="115"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Exhibit</w:t>
            </w:r>
          </w:p>
        </w:tc>
        <w:tc>
          <w:tcPr>
            <w:tcW w:w="2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ind w:left="460"/>
              <w:spacing w:after="0"/>
              <w:rPr>
                <w:sz w:val="20"/>
                <w:szCs w:val="20"/>
                <w:color w:val="auto"/>
              </w:rPr>
            </w:pPr>
            <w:r>
              <w:rPr>
                <w:rFonts w:ascii="Arial" w:cs="Arial" w:eastAsia="Arial" w:hAnsi="Arial"/>
                <w:sz w:val="12"/>
                <w:szCs w:val="12"/>
                <w:b w:val="1"/>
                <w:bCs w:val="1"/>
                <w:color w:val="auto"/>
              </w:rPr>
              <w:t>Incorporated by Reference</w:t>
            </w:r>
          </w:p>
        </w:tc>
        <w:tc>
          <w:tcPr>
            <w:tcW w:w="8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Filed</w:t>
            </w:r>
          </w:p>
        </w:tc>
        <w:tc>
          <w:tcPr>
            <w:tcW w:w="0" w:type="dxa"/>
            <w:vAlign w:val="bottom"/>
          </w:tcPr>
          <w:p>
            <w:pPr>
              <w:spacing w:after="0"/>
              <w:rPr>
                <w:sz w:val="1"/>
                <w:szCs w:val="1"/>
                <w:color w:val="auto"/>
              </w:rPr>
            </w:pPr>
          </w:p>
        </w:tc>
      </w:tr>
      <w:tr>
        <w:trPr>
          <w:trHeight w:val="94"/>
        </w:trPr>
        <w:tc>
          <w:tcPr>
            <w:tcW w:w="8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900" w:type="dxa"/>
            <w:vAlign w:val="bottom"/>
            <w:vMerge w:val="restart"/>
          </w:tcPr>
          <w:p>
            <w:pPr>
              <w:ind w:left="1940"/>
              <w:spacing w:after="0"/>
              <w:rPr>
                <w:sz w:val="20"/>
                <w:szCs w:val="20"/>
                <w:color w:val="auto"/>
              </w:rPr>
            </w:pPr>
            <w:r>
              <w:rPr>
                <w:rFonts w:ascii="Arial" w:cs="Arial" w:eastAsia="Arial" w:hAnsi="Arial"/>
                <w:sz w:val="12"/>
                <w:szCs w:val="12"/>
                <w:b w:val="1"/>
                <w:bCs w:val="1"/>
                <w:color w:val="auto"/>
              </w:rPr>
              <w:t>Exhibit description</w:t>
            </w:r>
          </w:p>
        </w:tc>
        <w:tc>
          <w:tcPr>
            <w:tcW w:w="180" w:type="dxa"/>
            <w:vAlign w:val="bottom"/>
            <w:vMerge w:val="restart"/>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80" w:type="dxa"/>
            <w:vAlign w:val="bottom"/>
            <w:vMerge w:val="restart"/>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File no.</w:t>
            </w:r>
          </w:p>
        </w:tc>
        <w:tc>
          <w:tcPr>
            <w:tcW w:w="200" w:type="dxa"/>
            <w:vAlign w:val="bottom"/>
            <w:vMerge w:val="restart"/>
          </w:tcPr>
          <w:p>
            <w:pPr>
              <w:spacing w:after="0"/>
              <w:rPr>
                <w:sz w:val="8"/>
                <w:szCs w:val="8"/>
                <w:color w:val="auto"/>
              </w:rPr>
            </w:pPr>
          </w:p>
        </w:tc>
        <w:tc>
          <w:tcPr>
            <w:tcW w:w="8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Exhibit</w:t>
            </w:r>
          </w:p>
        </w:tc>
        <w:tc>
          <w:tcPr>
            <w:tcW w:w="180" w:type="dxa"/>
            <w:vAlign w:val="bottom"/>
            <w:vMerge w:val="restart"/>
          </w:tcPr>
          <w:p>
            <w:pPr>
              <w:spacing w:after="0"/>
              <w:rPr>
                <w:sz w:val="8"/>
                <w:szCs w:val="8"/>
                <w:color w:val="auto"/>
              </w:rPr>
            </w:pPr>
          </w:p>
        </w:tc>
        <w:tc>
          <w:tcPr>
            <w:tcW w:w="8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Filing</w:t>
            </w:r>
          </w:p>
        </w:tc>
        <w:tc>
          <w:tcPr>
            <w:tcW w:w="1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number</w:t>
            </w:r>
          </w:p>
        </w:tc>
        <w:tc>
          <w:tcPr>
            <w:tcW w:w="220" w:type="dxa"/>
            <w:vAlign w:val="bottom"/>
          </w:tcPr>
          <w:p>
            <w:pPr>
              <w:spacing w:after="0"/>
              <w:rPr>
                <w:sz w:val="12"/>
                <w:szCs w:val="12"/>
                <w:color w:val="auto"/>
              </w:rPr>
            </w:pPr>
          </w:p>
        </w:tc>
        <w:tc>
          <w:tcPr>
            <w:tcW w:w="49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date</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herewith</w:t>
            </w: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Arial" w:cs="Arial" w:eastAsia="Arial" w:hAnsi="Arial"/>
                <w:sz w:val="15"/>
                <w:szCs w:val="15"/>
                <w:color w:val="auto"/>
                <w:w w:val="95"/>
              </w:rPr>
              <w:t>16.1</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Letter from Marcum LLP dated August 12, 2025</w:t>
            </w:r>
          </w:p>
        </w:tc>
        <w:tc>
          <w:tcPr>
            <w:tcW w:w="680" w:type="dxa"/>
            <w:vAlign w:val="bottom"/>
            <w:gridSpan w:val="2"/>
          </w:tcPr>
          <w:p>
            <w:pPr>
              <w:jc w:val="center"/>
              <w:ind w:right="200"/>
              <w:spacing w:after="0"/>
              <w:rPr>
                <w:sz w:val="20"/>
                <w:szCs w:val="20"/>
                <w:color w:val="auto"/>
              </w:rPr>
            </w:pPr>
            <w:r>
              <w:rPr>
                <w:rFonts w:ascii="Arial" w:cs="Arial" w:eastAsia="Arial" w:hAnsi="Arial"/>
                <w:sz w:val="15"/>
                <w:szCs w:val="15"/>
                <w:color w:val="auto"/>
              </w:rPr>
              <w:t>8-K</w:t>
            </w:r>
          </w:p>
        </w:tc>
        <w:tc>
          <w:tcPr>
            <w:tcW w:w="94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16.1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5"/>
              </w:rPr>
              <w:t>8/12/25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19.1</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Insider Trading Policy</w:t>
            </w:r>
          </w:p>
        </w:tc>
        <w:tc>
          <w:tcPr>
            <w:tcW w:w="680" w:type="dxa"/>
            <w:vAlign w:val="bottom"/>
            <w:gridSpan w:val="2"/>
          </w:tcPr>
          <w:p>
            <w:pPr>
              <w:jc w:val="center"/>
              <w:ind w:right="200"/>
              <w:spacing w:after="0"/>
              <w:rPr>
                <w:sz w:val="20"/>
                <w:szCs w:val="20"/>
                <w:color w:val="auto"/>
              </w:rPr>
            </w:pPr>
            <w:r>
              <w:rPr>
                <w:rFonts w:ascii="Arial" w:cs="Arial" w:eastAsia="Arial" w:hAnsi="Arial"/>
                <w:sz w:val="15"/>
                <w:szCs w:val="15"/>
                <w:color w:val="auto"/>
              </w:rPr>
              <w:t>10-K</w:t>
            </w:r>
          </w:p>
        </w:tc>
        <w:tc>
          <w:tcPr>
            <w:tcW w:w="94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8"/>
              </w:rPr>
              <w:t>19.1</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5"/>
              </w:rPr>
              <w:t>3/31/25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21.1</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List of Subsidiaries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23.1</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Consent of Marcum LLP, an independent public accounting firm.</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23.2</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Consent of CBIZ CPAs, an independent public accounting firm.</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24.1</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Powers of Attorney (included on signature page)</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31.1</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w w:val="98"/>
              </w:rPr>
              <w:t>Certification of Chief Executive Officer pursuant to Securities Exchange Act of</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1934 Rule 13a-14(a) or 15d-14a</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31.2</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w w:val="99"/>
              </w:rPr>
              <w:t>Certification of Chief Financial Officer pursuant to Securities Exchange Act of</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1934 Rule 13a-14(a) or 15d-14a</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32.1</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w w:val="97"/>
              </w:rPr>
              <w:t>Certification of Chief Executive Officer pursuant to 18 U. S. C. Section 1350 as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adopted pursuant to Section 906 of the Sarbanes-Oxley Act of 2002#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44"/>
        </w:trPr>
        <w:tc>
          <w:tcPr>
            <w:tcW w:w="860" w:type="dxa"/>
            <w:vAlign w:val="bottom"/>
          </w:tcPr>
          <w:p>
            <w:pPr>
              <w:jc w:val="center"/>
              <w:spacing w:after="0"/>
              <w:rPr>
                <w:sz w:val="20"/>
                <w:szCs w:val="20"/>
                <w:color w:val="auto"/>
              </w:rPr>
            </w:pPr>
            <w:r>
              <w:rPr>
                <w:rFonts w:ascii="Arial" w:cs="Arial" w:eastAsia="Arial" w:hAnsi="Arial"/>
                <w:sz w:val="15"/>
                <w:szCs w:val="15"/>
                <w:color w:val="auto"/>
                <w:w w:val="95"/>
              </w:rPr>
              <w:t>32.2</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w w:val="98"/>
              </w:rPr>
              <w:t>Certification of Chief Financial Officer pursuant to 18 U. S. C. Section 1350 as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adopted pursuant to Section 906 of the Sarbanes-Oxley Act of 2002#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97</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Incentive Compensation Recoupment Policy</w:t>
            </w:r>
          </w:p>
        </w:tc>
        <w:tc>
          <w:tcPr>
            <w:tcW w:w="680" w:type="dxa"/>
            <w:vAlign w:val="bottom"/>
            <w:gridSpan w:val="2"/>
          </w:tcPr>
          <w:p>
            <w:pPr>
              <w:jc w:val="center"/>
              <w:ind w:right="200"/>
              <w:spacing w:after="0"/>
              <w:rPr>
                <w:sz w:val="20"/>
                <w:szCs w:val="20"/>
                <w:color w:val="auto"/>
              </w:rPr>
            </w:pPr>
            <w:r>
              <w:rPr>
                <w:rFonts w:ascii="Arial" w:cs="Arial" w:eastAsia="Arial" w:hAnsi="Arial"/>
                <w:sz w:val="15"/>
                <w:szCs w:val="15"/>
                <w:color w:val="auto"/>
              </w:rPr>
              <w:t>10-K</w:t>
            </w:r>
          </w:p>
        </w:tc>
        <w:tc>
          <w:tcPr>
            <w:tcW w:w="940" w:type="dxa"/>
            <w:vAlign w:val="bottom"/>
          </w:tcPr>
          <w:p>
            <w:pPr>
              <w:jc w:val="center"/>
              <w:spacing w:after="0"/>
              <w:rPr>
                <w:sz w:val="20"/>
                <w:szCs w:val="20"/>
                <w:color w:val="auto"/>
              </w:rPr>
            </w:pPr>
            <w:r>
              <w:rPr>
                <w:rFonts w:ascii="Arial" w:cs="Arial" w:eastAsia="Arial" w:hAnsi="Arial"/>
                <w:sz w:val="15"/>
                <w:szCs w:val="15"/>
                <w:color w:val="auto"/>
                <w:w w:val="91"/>
              </w:rPr>
              <w:t>001-37939</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83"/>
              </w:rPr>
              <w:t>97</w:t>
            </w: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5"/>
              </w:rPr>
              <w:t>3/25/24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101.INS</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XBRL Instance Document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1"/>
              </w:rPr>
              <w:t>101.SCH</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XBRL Taxonomy Extension Schema Document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5"/>
              </w:rPr>
              <w:t>101.CAL</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XBRL Taxonomy Extension Calculation Linkbase Document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4"/>
              </w:rPr>
              <w:t>101.DEF</w:t>
            </w:r>
          </w:p>
        </w:tc>
        <w:tc>
          <w:tcPr>
            <w:tcW w:w="5300" w:type="dxa"/>
            <w:vAlign w:val="bottom"/>
            <w:gridSpan w:val="3"/>
          </w:tcPr>
          <w:p>
            <w:pPr>
              <w:ind w:left="220"/>
              <w:spacing w:after="0"/>
              <w:rPr>
                <w:sz w:val="20"/>
                <w:szCs w:val="20"/>
                <w:color w:val="auto"/>
              </w:rPr>
            </w:pPr>
            <w:r>
              <w:rPr>
                <w:rFonts w:ascii="Arial" w:cs="Arial" w:eastAsia="Arial" w:hAnsi="Arial"/>
                <w:sz w:val="15"/>
                <w:szCs w:val="15"/>
                <w:color w:val="auto"/>
              </w:rPr>
              <w:t>XBRL Taxonomy Extension Definition Linkbase Document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7"/>
              </w:rPr>
              <w:t>101.LAB</w:t>
            </w:r>
          </w:p>
        </w:tc>
        <w:tc>
          <w:tcPr>
            <w:tcW w:w="2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XBRL Taxonomy Extension Label Linkbase Document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r>
        <w:trPr>
          <w:trHeight w:val="366"/>
        </w:trPr>
        <w:tc>
          <w:tcPr>
            <w:tcW w:w="860" w:type="dxa"/>
            <w:vAlign w:val="bottom"/>
          </w:tcPr>
          <w:p>
            <w:pPr>
              <w:jc w:val="center"/>
              <w:spacing w:after="0"/>
              <w:rPr>
                <w:sz w:val="20"/>
                <w:szCs w:val="20"/>
                <w:color w:val="auto"/>
              </w:rPr>
            </w:pPr>
            <w:r>
              <w:rPr>
                <w:rFonts w:ascii="Arial" w:cs="Arial" w:eastAsia="Arial" w:hAnsi="Arial"/>
                <w:sz w:val="15"/>
                <w:szCs w:val="15"/>
                <w:color w:val="auto"/>
                <w:w w:val="93"/>
              </w:rPr>
              <w:t>101.PRE</w:t>
            </w:r>
          </w:p>
        </w:tc>
        <w:tc>
          <w:tcPr>
            <w:tcW w:w="2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XBRL Taxonomy Extension Presentation Linkbase Document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5"/>
                <w:szCs w:val="15"/>
                <w:color w:val="auto"/>
                <w:w w:val="99"/>
              </w:rPr>
              <w:t>X</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840" w:hanging="757"/>
        <w:spacing w:after="0" w:line="299" w:lineRule="auto"/>
        <w:tabs>
          <w:tab w:leader="none" w:pos="1080" w:val="left"/>
        </w:tabs>
        <w:numPr>
          <w:ilvl w:val="1"/>
          <w:numId w:val="51"/>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 filed herewith)</w:t>
      </w:r>
    </w:p>
    <w:p>
      <w:pPr>
        <w:spacing w:after="0" w:line="30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Executive management contract or compensatory plan or arrangement.</w:t>
      </w:r>
    </w:p>
    <w:p>
      <w:pPr>
        <w:spacing w:after="0" w:line="193" w:lineRule="exact"/>
        <w:rPr>
          <w:rFonts w:ascii="Arial" w:cs="Arial" w:eastAsia="Arial" w:hAnsi="Arial"/>
          <w:sz w:val="15"/>
          <w:szCs w:val="15"/>
          <w:color w:val="auto"/>
        </w:rPr>
      </w:pPr>
    </w:p>
    <w:p>
      <w:pPr>
        <w:ind w:left="280" w:hanging="273"/>
        <w:spacing w:after="0" w:line="299" w:lineRule="auto"/>
        <w:tabs>
          <w:tab w:leader="none" w:pos="281"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Confidential treatment has been granted as to certain portions of this exhibit pursuant to Rule 406 of the Securities Act of 1933, as amended, or Rule 24b-2 of the Securities Exchange Act of 1934, as amended.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-546100</wp:posOffset>
                </wp:positionV>
                <wp:extent cx="168465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3pt" to="133pt,-43pt" o:allowincell="f" strokecolor="#000000" strokeweight="0.57pt"/>
            </w:pict>
          </mc:Fallback>
        </mc:AlternateConten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4" w:orient="portrait"/>
          <w:cols w:equalWidth="0" w:num="1">
            <w:col w:w="10640"/>
          </w:cols>
          <w:pgMar w:left="620" w:top="1440" w:right="634" w:bottom="115"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0" w:hanging="273"/>
        <w:spacing w:after="0" w:line="299" w:lineRule="auto"/>
        <w:tabs>
          <w:tab w:leader="none" w:pos="2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Portions of this exhibit (indicated by asterisks) have been omitted pursuant to a request for conditional treatment and this exhibit has been submitted separately with the SEC.</w:t>
      </w:r>
    </w:p>
    <w:p>
      <w:pPr>
        <w:spacing w:after="0" w:line="119" w:lineRule="exact"/>
        <w:rPr>
          <w:sz w:val="20"/>
          <w:szCs w:val="20"/>
          <w:color w:val="auto"/>
        </w:rPr>
      </w:pPr>
    </w:p>
    <w:p>
      <w:pPr>
        <w:jc w:val="both"/>
        <w:ind w:left="280" w:hanging="273"/>
        <w:spacing w:after="0" w:line="276" w:lineRule="auto"/>
        <w:tabs>
          <w:tab w:leader="none" w:pos="2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4" w:orient="portrait"/>
          <w:cols w:equalWidth="0" w:num="1">
            <w:col w:w="10640"/>
          </w:cols>
          <w:pgMar w:left="620" w:top="1440" w:right="634" w:bottom="115"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SIGNATURES</w:t>
      </w:r>
    </w:p>
    <w:p>
      <w:pPr>
        <w:spacing w:after="0" w:line="19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Pursuant to the requirements of Section 13 and 15 (d) of the Securities Exchange Act of 1934, the registrant has duly caused this report to be signed on its behalf by the undersigned, thereunto duly authorized.</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Dated: March 18, 2026</w:t>
      </w:r>
    </w:p>
    <w:p>
      <w:pPr>
        <w:spacing w:after="0" w:line="205"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Marker Therapeutics, Inc.</w:t>
      </w:r>
    </w:p>
    <w:p>
      <w:pPr>
        <w:spacing w:after="0" w:line="193"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By: /s/ Juan Vera</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Juan Vera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3584575</wp:posOffset>
                </wp:positionH>
                <wp:positionV relativeFrom="paragraph">
                  <wp:posOffset>-99060</wp:posOffset>
                </wp:positionV>
                <wp:extent cx="317309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3095" cy="4763"/>
                        </a:xfrm>
                        <a:prstGeom prst="line">
                          <a:avLst/>
                        </a:prstGeom>
                        <a:solidFill>
                          <a:srgbClr val="FFFFFF"/>
                        </a:solidFill>
                        <a:ln w="7277">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25pt,-7.7999pt" to="532.1pt,-7.7999pt" o:allowincell="f" strokecolor="#000000" strokeweight="0.573pt"/>
            </w:pict>
          </mc:Fallback>
        </mc:AlternateContent>
      </w:r>
    </w:p>
    <w:p>
      <w:pPr>
        <w:ind w:left="5640"/>
        <w:spacing w:after="0"/>
        <w:rPr>
          <w:sz w:val="20"/>
          <w:szCs w:val="20"/>
          <w:color w:val="auto"/>
        </w:rPr>
      </w:pPr>
      <w:r>
        <w:rPr>
          <w:rFonts w:ascii="Arial" w:cs="Arial" w:eastAsia="Arial" w:hAnsi="Arial"/>
          <w:sz w:val="14"/>
          <w:szCs w:val="14"/>
          <w:color w:val="auto"/>
        </w:rPr>
        <w:t>President, Chief Executive Officer and Treasurer (Principal Executive Officer</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and Principal Financial and Accounting Officer)</w:t>
      </w: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4" w:orient="portrait"/>
          <w:cols w:equalWidth="0" w:num="1">
            <w:col w:w="10640"/>
          </w:cols>
          <w:pgMar w:left="620" w:top="1440" w:right="634" w:bottom="115" w:gutter="0" w:footer="0" w:header="0"/>
          <w:type w:val="continuous"/>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Each of the undersigned officers and directors of Marker Therapeutics, Inc., hereby constitutes and appoints Juan Vera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4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March 28, 2026 on behalf of the registrant and in the capacities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Signature</w:t>
            </w:r>
          </w:p>
        </w:tc>
        <w:tc>
          <w:tcPr>
            <w:tcW w:w="160" w:type="dxa"/>
            <w:vAlign w:val="bottom"/>
          </w:tcPr>
          <w:p>
            <w:pPr>
              <w:spacing w:after="0"/>
              <w:rPr>
                <w:sz w:val="13"/>
                <w:szCs w:val="13"/>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Date</w:t>
            </w: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60" w:type="dxa"/>
            <w:vAlign w:val="bottom"/>
          </w:tcPr>
          <w:p>
            <w:pPr>
              <w:spacing w:after="0" w:line="153" w:lineRule="exact"/>
              <w:rPr>
                <w:sz w:val="20"/>
                <w:szCs w:val="20"/>
                <w:color w:val="auto"/>
              </w:rPr>
            </w:pPr>
            <w:r>
              <w:rPr>
                <w:rFonts w:ascii="Arial" w:cs="Arial" w:eastAsia="Arial" w:hAnsi="Arial"/>
                <w:sz w:val="15"/>
                <w:szCs w:val="15"/>
                <w:color w:val="auto"/>
                <w:w w:val="94"/>
              </w:rPr>
              <w:t>President, Chief Executive Officer and Treasurer, Director</w:t>
            </w:r>
          </w:p>
        </w:tc>
        <w:tc>
          <w:tcPr>
            <w:tcW w:w="20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820" w:type="dxa"/>
            <w:vAlign w:val="bottom"/>
            <w:gridSpan w:val="2"/>
          </w:tcPr>
          <w:p>
            <w:pPr>
              <w:ind w:left="160"/>
              <w:spacing w:after="0"/>
              <w:rPr>
                <w:sz w:val="20"/>
                <w:szCs w:val="20"/>
                <w:color w:val="auto"/>
              </w:rPr>
            </w:pPr>
            <w:r>
              <w:rPr>
                <w:rFonts w:ascii="Arial" w:cs="Arial" w:eastAsia="Arial" w:hAnsi="Arial"/>
                <w:sz w:val="15"/>
                <w:szCs w:val="15"/>
                <w:color w:val="auto"/>
                <w:w w:val="99"/>
              </w:rPr>
              <w:t>(Principal Executive Officer and Principal Financial and</w:t>
            </w:r>
          </w:p>
        </w:tc>
        <w:tc>
          <w:tcPr>
            <w:tcW w:w="20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Juan Vera</w:t>
            </w:r>
          </w:p>
        </w:tc>
        <w:tc>
          <w:tcPr>
            <w:tcW w:w="3820" w:type="dxa"/>
            <w:vAlign w:val="bottom"/>
            <w:gridSpan w:val="2"/>
          </w:tcPr>
          <w:p>
            <w:pPr>
              <w:ind w:left="160"/>
              <w:spacing w:after="0"/>
              <w:rPr>
                <w:sz w:val="20"/>
                <w:szCs w:val="20"/>
                <w:color w:val="auto"/>
              </w:rPr>
            </w:pPr>
            <w:r>
              <w:rPr>
                <w:rFonts w:ascii="Arial" w:cs="Arial" w:eastAsia="Arial" w:hAnsi="Arial"/>
                <w:sz w:val="15"/>
                <w:szCs w:val="15"/>
                <w:color w:val="auto"/>
              </w:rPr>
              <w:t>Accounting Officer)</w:t>
            </w:r>
          </w:p>
        </w:tc>
        <w:tc>
          <w:tcPr>
            <w:tcW w:w="20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5"/>
                <w:szCs w:val="15"/>
                <w:color w:val="auto"/>
              </w:rPr>
              <w:t>March 18, 2026</w:t>
            </w: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5"/>
                <w:szCs w:val="15"/>
                <w:color w:val="auto"/>
              </w:rPr>
              <w:t>Juan Vera</w:t>
            </w: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N. David Eansor</w:t>
            </w:r>
          </w:p>
        </w:tc>
        <w:tc>
          <w:tcPr>
            <w:tcW w:w="3820" w:type="dxa"/>
            <w:vAlign w:val="bottom"/>
            <w:gridSpan w:val="2"/>
          </w:tcPr>
          <w:p>
            <w:pPr>
              <w:ind w:left="160"/>
              <w:spacing w:after="0"/>
              <w:rPr>
                <w:sz w:val="20"/>
                <w:szCs w:val="20"/>
                <w:color w:val="auto"/>
              </w:rPr>
            </w:pPr>
            <w:r>
              <w:rPr>
                <w:rFonts w:ascii="Arial" w:cs="Arial" w:eastAsia="Arial" w:hAnsi="Arial"/>
                <w:sz w:val="15"/>
                <w:szCs w:val="15"/>
                <w:color w:val="auto"/>
              </w:rPr>
              <w:t>Chairman</w:t>
            </w: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March 18, 2026</w:t>
            </w: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Pr>
          <w:p>
            <w:pPr>
              <w:spacing w:after="0"/>
              <w:rPr>
                <w:sz w:val="20"/>
                <w:szCs w:val="20"/>
                <w:color w:val="auto"/>
              </w:rPr>
            </w:pPr>
            <w:r>
              <w:rPr>
                <w:rFonts w:ascii="Arial" w:cs="Arial" w:eastAsia="Arial" w:hAnsi="Arial"/>
                <w:sz w:val="15"/>
                <w:szCs w:val="15"/>
                <w:color w:val="auto"/>
              </w:rPr>
              <w:t>N. David Eansor</w:t>
            </w: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Katharine Knobil</w:t>
            </w:r>
          </w:p>
        </w:tc>
        <w:tc>
          <w:tcPr>
            <w:tcW w:w="3820" w:type="dxa"/>
            <w:vAlign w:val="bottom"/>
            <w:gridSpan w:val="2"/>
          </w:tcPr>
          <w:p>
            <w:pPr>
              <w:ind w:left="160"/>
              <w:spacing w:after="0"/>
              <w:rPr>
                <w:sz w:val="20"/>
                <w:szCs w:val="20"/>
                <w:color w:val="auto"/>
              </w:rPr>
            </w:pPr>
            <w:r>
              <w:rPr>
                <w:rFonts w:ascii="Arial" w:cs="Arial" w:eastAsia="Arial" w:hAnsi="Arial"/>
                <w:sz w:val="15"/>
                <w:szCs w:val="15"/>
                <w:color w:val="auto"/>
              </w:rPr>
              <w:t>Director</w:t>
            </w: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March 18, 2026</w:t>
            </w: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Katharine Knobil</w:t>
            </w: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Steve Elms</w:t>
            </w:r>
          </w:p>
        </w:tc>
        <w:tc>
          <w:tcPr>
            <w:tcW w:w="3820" w:type="dxa"/>
            <w:vAlign w:val="bottom"/>
            <w:gridSpan w:val="2"/>
          </w:tcPr>
          <w:p>
            <w:pPr>
              <w:ind w:left="160"/>
              <w:spacing w:after="0"/>
              <w:rPr>
                <w:sz w:val="20"/>
                <w:szCs w:val="20"/>
                <w:color w:val="auto"/>
              </w:rPr>
            </w:pPr>
            <w:r>
              <w:rPr>
                <w:rFonts w:ascii="Arial" w:cs="Arial" w:eastAsia="Arial" w:hAnsi="Arial"/>
                <w:sz w:val="15"/>
                <w:szCs w:val="15"/>
                <w:color w:val="auto"/>
              </w:rPr>
              <w:t>Director</w:t>
            </w: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March 18, 2026</w:t>
            </w: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gridSpan w:val="3"/>
          </w:tcPr>
          <w:p>
            <w:pPr>
              <w:spacing w:after="0"/>
              <w:rPr>
                <w:sz w:val="20"/>
                <w:szCs w:val="20"/>
                <w:color w:val="auto"/>
              </w:rPr>
            </w:pPr>
            <w:r>
              <w:rPr>
                <w:rFonts w:ascii="Arial" w:cs="Arial" w:eastAsia="Arial" w:hAnsi="Arial"/>
                <w:sz w:val="15"/>
                <w:szCs w:val="15"/>
                <w:color w:val="auto"/>
              </w:rPr>
              <w:t>Steve Elms</w:t>
            </w: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3160" w:type="dxa"/>
            <w:vAlign w:val="bottom"/>
            <w:tcBorders>
              <w:bottom w:val="single" w:sz="8" w:color="auto"/>
            </w:tcBorders>
            <w:gridSpan w:val="4"/>
          </w:tcPr>
          <w:p>
            <w:pPr>
              <w:spacing w:after="0"/>
              <w:rPr>
                <w:sz w:val="20"/>
                <w:szCs w:val="20"/>
                <w:color w:val="auto"/>
              </w:rPr>
            </w:pPr>
            <w:r>
              <w:rPr>
                <w:rFonts w:ascii="Arial" w:cs="Arial" w:eastAsia="Arial" w:hAnsi="Arial"/>
                <w:sz w:val="15"/>
                <w:szCs w:val="15"/>
                <w:color w:val="auto"/>
              </w:rPr>
              <w:t>/s/ Kathryn Penkus Corzo</w:t>
            </w:r>
          </w:p>
        </w:tc>
        <w:tc>
          <w:tcPr>
            <w:tcW w:w="3820" w:type="dxa"/>
            <w:vAlign w:val="bottom"/>
            <w:gridSpan w:val="2"/>
          </w:tcPr>
          <w:p>
            <w:pPr>
              <w:ind w:left="160"/>
              <w:spacing w:after="0"/>
              <w:rPr>
                <w:sz w:val="20"/>
                <w:szCs w:val="20"/>
                <w:color w:val="auto"/>
              </w:rPr>
            </w:pPr>
            <w:r>
              <w:rPr>
                <w:rFonts w:ascii="Arial" w:cs="Arial" w:eastAsia="Arial" w:hAnsi="Arial"/>
                <w:sz w:val="15"/>
                <w:szCs w:val="15"/>
                <w:color w:val="auto"/>
              </w:rPr>
              <w:t>Director</w:t>
            </w:r>
          </w:p>
        </w:tc>
        <w:tc>
          <w:tcPr>
            <w:tcW w:w="3580" w:type="dxa"/>
            <w:vAlign w:val="bottom"/>
            <w:gridSpan w:val="2"/>
          </w:tcPr>
          <w:p>
            <w:pPr>
              <w:ind w:left="200"/>
              <w:spacing w:after="0"/>
              <w:rPr>
                <w:sz w:val="20"/>
                <w:szCs w:val="20"/>
                <w:color w:val="auto"/>
              </w:rPr>
            </w:pPr>
            <w:r>
              <w:rPr>
                <w:rFonts w:ascii="Arial" w:cs="Arial" w:eastAsia="Arial" w:hAnsi="Arial"/>
                <w:sz w:val="15"/>
                <w:szCs w:val="15"/>
                <w:color w:val="auto"/>
              </w:rPr>
              <w:t>March 18, 2026</w:t>
            </w:r>
          </w:p>
        </w:tc>
      </w:tr>
      <w:tr>
        <w:trPr>
          <w:trHeight w:val="196"/>
        </w:trPr>
        <w:tc>
          <w:tcPr>
            <w:tcW w:w="20" w:type="dxa"/>
            <w:vAlign w:val="bottom"/>
          </w:tcPr>
          <w:p>
            <w:pPr>
              <w:spacing w:after="0"/>
              <w:rPr>
                <w:sz w:val="17"/>
                <w:szCs w:val="17"/>
                <w:color w:val="auto"/>
              </w:rPr>
            </w:pPr>
          </w:p>
        </w:tc>
        <w:tc>
          <w:tcPr>
            <w:tcW w:w="3160" w:type="dxa"/>
            <w:vAlign w:val="bottom"/>
            <w:gridSpan w:val="4"/>
          </w:tcPr>
          <w:p>
            <w:pPr>
              <w:spacing w:after="0"/>
              <w:rPr>
                <w:sz w:val="20"/>
                <w:szCs w:val="20"/>
                <w:color w:val="auto"/>
              </w:rPr>
            </w:pPr>
            <w:r>
              <w:rPr>
                <w:rFonts w:ascii="Arial" w:cs="Arial" w:eastAsia="Arial" w:hAnsi="Arial"/>
                <w:sz w:val="15"/>
                <w:szCs w:val="15"/>
                <w:color w:val="auto"/>
              </w:rPr>
              <w:t>Kathryn Penkus Corzo</w:t>
            </w: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r>
    </w:tbl>
    <w:p>
      <w:pPr>
        <w:spacing w:after="0" w:line="200" w:lineRule="exact"/>
        <w:rPr>
          <w:sz w:val="20"/>
          <w:szCs w:val="20"/>
          <w:color w:val="auto"/>
        </w:rPr>
      </w:pPr>
    </w:p>
    <w:p>
      <w:pPr>
        <w:sectPr>
          <w:pgSz w:w="11900" w:h="16834" w:orient="portrait"/>
          <w:cols w:equalWidth="0" w:num="1">
            <w:col w:w="10640"/>
          </w:cols>
          <w:pgMar w:left="620" w:top="1440" w:right="634"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4" w:orient="portrait"/>
          <w:cols w:equalWidth="0" w:num="1">
            <w:col w:w="10640"/>
          </w:cols>
          <w:pgMar w:left="620" w:top="1440" w:right="634" w:bottom="115"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MARKER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DECEMBER 31, 2025 AND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60" w:type="dxa"/>
            <w:vAlign w:val="bottom"/>
          </w:tcPr>
          <w:p>
            <w:pPr>
              <w:spacing w:after="0"/>
              <w:rPr>
                <w:sz w:val="20"/>
                <w:szCs w:val="20"/>
                <w:color w:val="auto"/>
              </w:rPr>
            </w:pPr>
            <w:r>
              <w:rPr>
                <w:rFonts w:ascii="Arial" w:cs="Arial" w:eastAsia="Arial" w:hAnsi="Arial"/>
                <w:sz w:val="15"/>
                <w:szCs w:val="15"/>
                <w:b w:val="1"/>
                <w:bCs w:val="1"/>
                <w:color w:val="auto"/>
              </w:rPr>
              <w:t>Report of Independent Registered Public Accounting Firm (PCAOB ID Number 688)</w:t>
            </w:r>
          </w:p>
        </w:tc>
        <w:tc>
          <w:tcPr>
            <w:tcW w:w="268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183"/>
        </w:trPr>
        <w:tc>
          <w:tcPr>
            <w:tcW w:w="7960" w:type="dxa"/>
            <w:vAlign w:val="bottom"/>
          </w:tcPr>
          <w:p>
            <w:pPr>
              <w:spacing w:after="0"/>
              <w:rPr>
                <w:sz w:val="20"/>
                <w:szCs w:val="20"/>
                <w:color w:val="auto"/>
              </w:rPr>
            </w:pPr>
            <w:r>
              <w:rPr>
                <w:rFonts w:ascii="Arial" w:cs="Arial" w:eastAsia="Arial" w:hAnsi="Arial"/>
                <w:sz w:val="15"/>
                <w:szCs w:val="15"/>
                <w:b w:val="1"/>
                <w:bCs w:val="1"/>
                <w:color w:val="auto"/>
              </w:rPr>
              <w:t>Report of Independent Registered Public Accounting Firm (PCAOB ID Number 199)</w:t>
            </w:r>
          </w:p>
        </w:tc>
        <w:tc>
          <w:tcPr>
            <w:tcW w:w="2680" w:type="dxa"/>
            <w:vAlign w:val="bottom"/>
          </w:tcPr>
          <w:p>
            <w:pPr>
              <w:jc w:val="right"/>
              <w:spacing w:after="0"/>
              <w:rPr>
                <w:sz w:val="20"/>
                <w:szCs w:val="20"/>
                <w:color w:val="auto"/>
              </w:rPr>
            </w:pPr>
            <w:r>
              <w:rPr>
                <w:rFonts w:ascii="Arial" w:cs="Arial" w:eastAsia="Arial" w:hAnsi="Arial"/>
                <w:sz w:val="15"/>
                <w:szCs w:val="15"/>
                <w:color w:val="auto"/>
              </w:rPr>
              <w:t>F-4</w:t>
            </w:r>
          </w:p>
        </w:tc>
      </w:tr>
      <w:tr>
        <w:trPr>
          <w:trHeight w:val="183"/>
        </w:trPr>
        <w:tc>
          <w:tcPr>
            <w:tcW w:w="7960" w:type="dxa"/>
            <w:vAlign w:val="bottom"/>
          </w:tcPr>
          <w:p>
            <w:pPr>
              <w:spacing w:after="0"/>
              <w:rPr>
                <w:sz w:val="20"/>
                <w:szCs w:val="20"/>
                <w:color w:val="auto"/>
              </w:rPr>
            </w:pPr>
            <w:r>
              <w:rPr>
                <w:rFonts w:ascii="Arial" w:cs="Arial" w:eastAsia="Arial" w:hAnsi="Arial"/>
                <w:sz w:val="15"/>
                <w:szCs w:val="15"/>
                <w:b w:val="1"/>
                <w:bCs w:val="1"/>
                <w:color w:val="auto"/>
              </w:rPr>
              <w:t>Consolidated Balance Sheets</w:t>
            </w:r>
          </w:p>
        </w:tc>
        <w:tc>
          <w:tcPr>
            <w:tcW w:w="2680" w:type="dxa"/>
            <w:vAlign w:val="bottom"/>
          </w:tcPr>
          <w:p>
            <w:pPr>
              <w:jc w:val="right"/>
              <w:spacing w:after="0"/>
              <w:rPr>
                <w:sz w:val="20"/>
                <w:szCs w:val="20"/>
                <w:color w:val="auto"/>
              </w:rPr>
            </w:pPr>
            <w:r>
              <w:rPr>
                <w:rFonts w:ascii="Arial" w:cs="Arial" w:eastAsia="Arial" w:hAnsi="Arial"/>
                <w:sz w:val="15"/>
                <w:szCs w:val="15"/>
                <w:color w:val="auto"/>
              </w:rPr>
              <w:t>F-6</w:t>
            </w:r>
          </w:p>
        </w:tc>
      </w:tr>
      <w:tr>
        <w:trPr>
          <w:trHeight w:val="183"/>
        </w:trPr>
        <w:tc>
          <w:tcPr>
            <w:tcW w:w="7960" w:type="dxa"/>
            <w:vAlign w:val="bottom"/>
          </w:tcPr>
          <w:p>
            <w:pPr>
              <w:spacing w:after="0"/>
              <w:rPr>
                <w:sz w:val="20"/>
                <w:szCs w:val="20"/>
                <w:color w:val="auto"/>
              </w:rPr>
            </w:pPr>
            <w:r>
              <w:rPr>
                <w:rFonts w:ascii="Arial" w:cs="Arial" w:eastAsia="Arial" w:hAnsi="Arial"/>
                <w:sz w:val="15"/>
                <w:szCs w:val="15"/>
                <w:b w:val="1"/>
                <w:bCs w:val="1"/>
                <w:color w:val="auto"/>
              </w:rPr>
              <w:t>Consolidated Statements of Operations</w:t>
            </w:r>
          </w:p>
        </w:tc>
        <w:tc>
          <w:tcPr>
            <w:tcW w:w="2680" w:type="dxa"/>
            <w:vAlign w:val="bottom"/>
          </w:tcPr>
          <w:p>
            <w:pPr>
              <w:jc w:val="right"/>
              <w:spacing w:after="0"/>
              <w:rPr>
                <w:sz w:val="20"/>
                <w:szCs w:val="20"/>
                <w:color w:val="auto"/>
              </w:rPr>
            </w:pPr>
            <w:r>
              <w:rPr>
                <w:rFonts w:ascii="Arial" w:cs="Arial" w:eastAsia="Arial" w:hAnsi="Arial"/>
                <w:sz w:val="15"/>
                <w:szCs w:val="15"/>
                <w:color w:val="auto"/>
              </w:rPr>
              <w:t>F-7</w:t>
            </w:r>
          </w:p>
        </w:tc>
      </w:tr>
      <w:tr>
        <w:trPr>
          <w:trHeight w:val="183"/>
        </w:trPr>
        <w:tc>
          <w:tcPr>
            <w:tcW w:w="7960" w:type="dxa"/>
            <w:vAlign w:val="bottom"/>
          </w:tcPr>
          <w:p>
            <w:pPr>
              <w:spacing w:after="0"/>
              <w:rPr>
                <w:sz w:val="20"/>
                <w:szCs w:val="20"/>
                <w:color w:val="auto"/>
              </w:rPr>
            </w:pPr>
            <w:r>
              <w:rPr>
                <w:rFonts w:ascii="Arial" w:cs="Arial" w:eastAsia="Arial" w:hAnsi="Arial"/>
                <w:sz w:val="15"/>
                <w:szCs w:val="15"/>
                <w:b w:val="1"/>
                <w:bCs w:val="1"/>
                <w:color w:val="auto"/>
              </w:rPr>
              <w:t>Consolidated Statements of Stockholders’ Equity</w:t>
            </w:r>
          </w:p>
        </w:tc>
        <w:tc>
          <w:tcPr>
            <w:tcW w:w="2680" w:type="dxa"/>
            <w:vAlign w:val="bottom"/>
          </w:tcPr>
          <w:p>
            <w:pPr>
              <w:jc w:val="right"/>
              <w:spacing w:after="0"/>
              <w:rPr>
                <w:sz w:val="20"/>
                <w:szCs w:val="20"/>
                <w:color w:val="auto"/>
              </w:rPr>
            </w:pPr>
            <w:r>
              <w:rPr>
                <w:rFonts w:ascii="Arial" w:cs="Arial" w:eastAsia="Arial" w:hAnsi="Arial"/>
                <w:sz w:val="15"/>
                <w:szCs w:val="15"/>
                <w:color w:val="auto"/>
              </w:rPr>
              <w:t>F-8</w:t>
            </w:r>
          </w:p>
        </w:tc>
      </w:tr>
      <w:tr>
        <w:trPr>
          <w:trHeight w:val="183"/>
        </w:trPr>
        <w:tc>
          <w:tcPr>
            <w:tcW w:w="7960" w:type="dxa"/>
            <w:vAlign w:val="bottom"/>
          </w:tcPr>
          <w:p>
            <w:pPr>
              <w:spacing w:after="0"/>
              <w:rPr>
                <w:sz w:val="20"/>
                <w:szCs w:val="20"/>
                <w:color w:val="auto"/>
              </w:rPr>
            </w:pPr>
            <w:r>
              <w:rPr>
                <w:rFonts w:ascii="Arial" w:cs="Arial" w:eastAsia="Arial" w:hAnsi="Arial"/>
                <w:sz w:val="15"/>
                <w:szCs w:val="15"/>
                <w:b w:val="1"/>
                <w:bCs w:val="1"/>
                <w:color w:val="auto"/>
              </w:rPr>
              <w:t>Consolidated Statements of Cash Flows</w:t>
            </w:r>
          </w:p>
        </w:tc>
        <w:tc>
          <w:tcPr>
            <w:tcW w:w="2680" w:type="dxa"/>
            <w:vAlign w:val="bottom"/>
          </w:tcPr>
          <w:p>
            <w:pPr>
              <w:jc w:val="right"/>
              <w:spacing w:after="0"/>
              <w:rPr>
                <w:sz w:val="20"/>
                <w:szCs w:val="20"/>
                <w:color w:val="auto"/>
              </w:rPr>
            </w:pPr>
            <w:r>
              <w:rPr>
                <w:rFonts w:ascii="Arial" w:cs="Arial" w:eastAsia="Arial" w:hAnsi="Arial"/>
                <w:sz w:val="15"/>
                <w:szCs w:val="15"/>
                <w:color w:val="auto"/>
              </w:rPr>
              <w:t>F-9</w:t>
            </w:r>
          </w:p>
        </w:tc>
      </w:tr>
      <w:tr>
        <w:trPr>
          <w:trHeight w:val="211"/>
        </w:trPr>
        <w:tc>
          <w:tcPr>
            <w:tcW w:w="7960" w:type="dxa"/>
            <w:vAlign w:val="bottom"/>
          </w:tcPr>
          <w:p>
            <w:pPr>
              <w:spacing w:after="0"/>
              <w:rPr>
                <w:sz w:val="20"/>
                <w:szCs w:val="20"/>
                <w:color w:val="auto"/>
              </w:rPr>
            </w:pPr>
            <w:r>
              <w:rPr>
                <w:rFonts w:ascii="Arial" w:cs="Arial" w:eastAsia="Arial" w:hAnsi="Arial"/>
                <w:sz w:val="15"/>
                <w:szCs w:val="15"/>
                <w:b w:val="1"/>
                <w:bCs w:val="1"/>
                <w:color w:val="auto"/>
              </w:rPr>
              <w:t>Notes to the Consolidated Financial Statements</w:t>
            </w:r>
          </w:p>
        </w:tc>
        <w:tc>
          <w:tcPr>
            <w:tcW w:w="2680" w:type="dxa"/>
            <w:vAlign w:val="bottom"/>
          </w:tcPr>
          <w:p>
            <w:pPr>
              <w:jc w:val="right"/>
              <w:spacing w:after="0"/>
              <w:rPr>
                <w:sz w:val="20"/>
                <w:szCs w:val="20"/>
                <w:color w:val="auto"/>
              </w:rPr>
            </w:pPr>
            <w:r>
              <w:rPr>
                <w:rFonts w:ascii="Arial" w:cs="Arial" w:eastAsia="Arial" w:hAnsi="Arial"/>
                <w:sz w:val="15"/>
                <w:szCs w:val="15"/>
                <w:color w:val="auto"/>
              </w:rPr>
              <w:t>F-10</w:t>
            </w:r>
          </w:p>
        </w:tc>
      </w:tr>
    </w:tbl>
    <w:p>
      <w:pPr>
        <w:spacing w:after="0" w:line="200" w:lineRule="exact"/>
        <w:rPr>
          <w:sz w:val="20"/>
          <w:szCs w:val="20"/>
          <w:color w:val="auto"/>
        </w:rPr>
      </w:pP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4" w:orient="portrait"/>
          <w:cols w:equalWidth="0" w:num="1">
            <w:col w:w="10640"/>
          </w:cols>
          <w:pgMar w:left="620" w:top="1440" w:right="634" w:bottom="0" w:gutter="0" w:footer="0" w:header="0"/>
          <w:type w:val="continuous"/>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Board of Directors of</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Marker Therapeutics, Inc.</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96"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have audited, before the effects of the retrospective adjustments to the disclosures for the adoption of ASU 2023-09, Income Taxes (Topic 740): Improvements to Income Tax Disclosures (“ASU 2023-09”) as discussed in Notes 3 and 12 to the consolidated financial statements, the accompanying consolidated balance sheet of Marker Therapeutics, Inc. (the “Company”) as of December 31, 2024, the related consolidated statements of operations, stockholders’ equity and cash flows for the year ended December 31, 2024, and the related notes (collectively referred to as the “financial statements”) (the 2024 financial statements before the effects of the adjustments discussed in Notes 3 and 12 to the financial statements are not presented herein). In our opinion the financial statements, before the effects of the retrospective adjustments to the disclosures for the adoption of ASU 2023-09 as discussed in Notes 3 and 12 to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33" w:lineRule="exact"/>
        <w:rPr>
          <w:sz w:val="20"/>
          <w:szCs w:val="20"/>
          <w:color w:val="auto"/>
        </w:rPr>
      </w:pPr>
    </w:p>
    <w:p>
      <w:pPr>
        <w:jc w:val="both"/>
        <w:ind w:right="180"/>
        <w:spacing w:after="0" w:line="276" w:lineRule="auto"/>
        <w:rPr>
          <w:sz w:val="20"/>
          <w:szCs w:val="20"/>
          <w:color w:val="auto"/>
        </w:rPr>
      </w:pPr>
      <w:r>
        <w:rPr>
          <w:rFonts w:ascii="Arial" w:cs="Arial" w:eastAsia="Arial" w:hAnsi="Arial"/>
          <w:sz w:val="15"/>
          <w:szCs w:val="15"/>
          <w:color w:val="auto"/>
        </w:rPr>
        <w:t>We were not engaged to audit, review, or apply any procedures to the retrospective adjustments to the disclosures for the adoption of ASU 2023-09 as discussed in Notes 3 and 12 to the financial statements and, accordingly, we do not express an opinion or any other form of assurance about whether such adjustments are appropriate and have been properly applied. Those retrospective adjustments were audited by CBIZ CPAs P.C.</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Explanatory Paragraph – Going Concern</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96" w:lineRule="exact"/>
        <w:rPr>
          <w:sz w:val="20"/>
          <w:szCs w:val="20"/>
          <w:color w:val="auto"/>
        </w:rPr>
      </w:pPr>
    </w:p>
    <w:p>
      <w:pPr>
        <w:jc w:val="both"/>
        <w:ind w:right="80"/>
        <w:spacing w:after="0" w:line="26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ectPr>
          <w:pgSz w:w="11900" w:h="16834" w:orient="portrait"/>
          <w:cols w:equalWidth="0" w:num="1">
            <w:col w:w="10620"/>
          </w:cols>
          <w:pgMar w:left="620" w:top="1440" w:right="65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4" w:orient="portrait"/>
          <w:cols w:equalWidth="0" w:num="1">
            <w:col w:w="10620"/>
          </w:cols>
          <w:pgMar w:left="620" w:top="1440" w:right="654"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/s/ Marcum LLP</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Marcum LLP</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We served as the Company’s auditor from 2014 to 2025.</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Houston, TX</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March 31, 2025</w:t>
      </w:r>
    </w:p>
    <w:p>
      <w:pPr>
        <w:sectPr>
          <w:pgSz w:w="11900" w:h="16834" w:orient="portrait"/>
          <w:cols w:equalWidth="0" w:num="1">
            <w:col w:w="10500"/>
          </w:cols>
          <w:pgMar w:left="620" w:top="1440" w:right="77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ectPr>
          <w:pgSz w:w="11900" w:h="16834" w:orient="portrait"/>
          <w:cols w:equalWidth="0" w:num="1">
            <w:col w:w="10500"/>
          </w:cols>
          <w:pgMar w:left="620" w:top="1440" w:right="774" w:bottom="0" w:gutter="0" w:footer="0" w:header="0"/>
          <w:type w:val="continuous"/>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and Board of Directors of</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Marker Therapeutics, Inc.</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We have audited the accompanying consolidated balance sheet of Marker Therapeutics, Inc. (the “Company”) as of December 31, 2025, the related consolidated statements of operations, stockholders’ equity and cash flows for the year ended Decemebr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As discussed in Notes 3 and 12 to the financial statements, the Company adopted ASU 2023-09, Income Taxes (Topic 740): </w:t>
      </w:r>
      <w:r>
        <w:rPr>
          <w:rFonts w:ascii="Arial" w:cs="Arial" w:eastAsia="Arial" w:hAnsi="Arial"/>
          <w:sz w:val="15"/>
          <w:szCs w:val="15"/>
          <w:i w:val="1"/>
          <w:iCs w:val="1"/>
          <w:color w:val="auto"/>
        </w:rPr>
        <w:t>Improvements to Income Tax Disclosures</w:t>
      </w:r>
      <w:r>
        <w:rPr>
          <w:rFonts w:ascii="Arial" w:cs="Arial" w:eastAsia="Arial" w:hAnsi="Arial"/>
          <w:sz w:val="15"/>
          <w:szCs w:val="15"/>
          <w:color w:val="auto"/>
        </w:rPr>
        <w:t xml:space="preserve"> (“ASU 2023-09”). We have also audited the adjustments to the 2024 financial statements to retrospectively adjust the disclosures for the adoption of ASU 2023-09 in 2025. In our opinion, such retrospective adjustments are appropriate and have been properly applied. We were not engaged to audit, review, or apply any procedures to the 2024 financial statements of the Company other than with respect to these retrospective adjustments, and accordingly, we do not express an opinion or any other form of assurance on the 2024 financial statements taken as a whole.</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Explanatory Paragraph – Going Concern</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62"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ind w:firstLine="1"/>
        <w:spacing w:after="0" w:line="29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4" w:orient="portrait"/>
          <w:cols w:equalWidth="0" w:num="1">
            <w:col w:w="10640"/>
          </w:cols>
          <w:pgMar w:left="620" w:top="1440" w:right="634" w:bottom="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/s/ CBIZ CPAs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CBIZ CPAs</w:t>
      </w:r>
    </w:p>
    <w:p>
      <w:pPr>
        <w:spacing w:after="0" w:line="102"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We have served as the Company’s auditor since 2014 (such date takes into account the acquisition of the attest business of Marcum llp by CBIZ CPAs P.C. effective November 1, 2024).</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Houston, TX</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March 18, 2026</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4" w:orient="portrait"/>
          <w:cols w:equalWidth="0" w:num="1">
            <w:col w:w="10640"/>
          </w:cols>
          <w:pgMar w:left="620" w:top="1440" w:right="634" w:bottom="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MARKER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BALANCE SHEETS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ind w:right="265"/>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Borders>
              <w:bottom w:val="single" w:sz="8" w:color="D2EEF5"/>
            </w:tcBorders>
          </w:tcPr>
          <w:p>
            <w:pPr>
              <w:spacing w:after="0"/>
              <w:rPr>
                <w:sz w:val="12"/>
                <w:szCs w:val="12"/>
                <w:color w:val="auto"/>
              </w:rPr>
            </w:pPr>
          </w:p>
        </w:tc>
        <w:tc>
          <w:tcPr>
            <w:tcW w:w="120" w:type="dxa"/>
            <w:vAlign w:val="bottom"/>
            <w:tcBorders>
              <w:bottom w:val="single" w:sz="8" w:color="D2EEF5"/>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2025</w:t>
            </w:r>
          </w:p>
        </w:tc>
        <w:tc>
          <w:tcPr>
            <w:tcW w:w="240" w:type="dxa"/>
            <w:vAlign w:val="bottom"/>
            <w:tcBorders>
              <w:bottom w:val="single" w:sz="8" w:color="D2EEF5"/>
            </w:tcBorders>
          </w:tcPr>
          <w:p>
            <w:pPr>
              <w:spacing w:after="0"/>
              <w:rPr>
                <w:sz w:val="12"/>
                <w:szCs w:val="12"/>
                <w:color w:val="auto"/>
              </w:rPr>
            </w:pPr>
          </w:p>
        </w:tc>
        <w:tc>
          <w:tcPr>
            <w:tcW w:w="20" w:type="dxa"/>
            <w:vAlign w:val="bottom"/>
            <w:tcBorders>
              <w:bottom w:val="single" w:sz="8" w:color="D2EEF5"/>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65"/>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18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tcPr>
          <w:p>
            <w:pPr>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shd w:val="clear" w:color="auto" w:fill="D2EEF5"/>
          </w:tcPr>
          <w:p>
            <w:pPr>
              <w:ind w:left="80"/>
              <w:spacing w:after="0"/>
              <w:rPr>
                <w:sz w:val="20"/>
                <w:szCs w:val="20"/>
                <w:color w:val="auto"/>
              </w:rPr>
            </w:pPr>
            <w:r>
              <w:rPr>
                <w:rFonts w:ascii="Arial" w:cs="Arial" w:eastAsia="Arial" w:hAnsi="Arial"/>
                <w:sz w:val="15"/>
                <w:szCs w:val="15"/>
                <w:color w:val="auto"/>
              </w:rPr>
              <w:t>Cash and cash equivalents</w:t>
            </w:r>
          </w:p>
        </w:tc>
        <w:tc>
          <w:tcPr>
            <w:tcW w:w="26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16,068,048</w:t>
            </w:r>
          </w:p>
        </w:tc>
        <w:tc>
          <w:tcPr>
            <w:tcW w:w="240" w:type="dxa"/>
            <w:vAlign w:val="bottom"/>
            <w:shd w:val="clear" w:color="auto" w:fill="D2EEF5"/>
          </w:tcPr>
          <w:p>
            <w:pPr>
              <w:spacing w:after="0"/>
              <w:rPr>
                <w:sz w:val="15"/>
                <w:szCs w:val="15"/>
                <w:color w:val="auto"/>
              </w:rPr>
            </w:pPr>
          </w:p>
        </w:tc>
        <w:tc>
          <w:tcPr>
            <w:tcW w:w="180" w:type="dxa"/>
            <w:vAlign w:val="bottom"/>
            <w:gridSpan w:val="2"/>
            <w:shd w:val="clear" w:color="auto" w:fill="D2EEF5"/>
          </w:tcPr>
          <w:p>
            <w:pPr>
              <w:jc w:val="right"/>
              <w:ind w:right="93"/>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19,192,440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tcPr>
          <w:p>
            <w:pPr>
              <w:ind w:left="80"/>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974,799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shd w:val="clear" w:color="auto" w:fill="D2EEF5"/>
          </w:tcPr>
          <w:p>
            <w:pPr>
              <w:ind w:left="80"/>
              <w:spacing w:after="0"/>
              <w:rPr>
                <w:sz w:val="20"/>
                <w:szCs w:val="20"/>
                <w:color w:val="auto"/>
              </w:rPr>
            </w:pPr>
            <w:r>
              <w:rPr>
                <w:rFonts w:ascii="Arial" w:cs="Arial" w:eastAsia="Arial" w:hAnsi="Arial"/>
                <w:sz w:val="15"/>
                <w:szCs w:val="15"/>
                <w:color w:val="auto"/>
              </w:rPr>
              <w:t>Prepaid expenses and deposits</w:t>
            </w: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1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658,750</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483,717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tcBorders>
              <w:bottom w:val="single" w:sz="8" w:color="D2EEF5"/>
            </w:tcBorders>
          </w:tcPr>
          <w:p>
            <w:pPr>
              <w:ind w:left="80"/>
              <w:spacing w:after="0"/>
              <w:rPr>
                <w:sz w:val="20"/>
                <w:szCs w:val="20"/>
                <w:color w:val="auto"/>
              </w:rPr>
            </w:pPr>
            <w:r>
              <w:rPr>
                <w:rFonts w:ascii="Arial" w:cs="Arial" w:eastAsia="Arial" w:hAnsi="Arial"/>
                <w:sz w:val="15"/>
                <w:szCs w:val="15"/>
                <w:color w:val="auto"/>
              </w:rPr>
              <w:t>Other receivables</w:t>
            </w:r>
          </w:p>
        </w:tc>
        <w:tc>
          <w:tcPr>
            <w:tcW w:w="1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1,369,400</w:t>
            </w:r>
          </w:p>
        </w:tc>
        <w:tc>
          <w:tcPr>
            <w:tcW w:w="24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2,346,703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0" w:type="dxa"/>
            <w:vAlign w:val="bottom"/>
            <w:shd w:val="clear" w:color="auto" w:fill="D2EEF5"/>
          </w:tcPr>
          <w:p>
            <w:pPr>
              <w:ind w:left="180"/>
              <w:spacing w:after="0"/>
              <w:rPr>
                <w:sz w:val="20"/>
                <w:szCs w:val="20"/>
                <w:color w:val="auto"/>
              </w:rPr>
            </w:pPr>
            <w:r>
              <w:rPr>
                <w:rFonts w:ascii="Arial" w:cs="Arial" w:eastAsia="Arial" w:hAnsi="Arial"/>
                <w:sz w:val="15"/>
                <w:szCs w:val="15"/>
                <w:color w:val="auto"/>
              </w:rPr>
              <w:t>Total current assets</w:t>
            </w: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1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19,070,997</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22,022,860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5"/>
                <w:szCs w:val="15"/>
                <w:b w:val="1"/>
                <w:bCs w:val="1"/>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19,070,997</w:t>
            </w:r>
          </w:p>
        </w:tc>
        <w:tc>
          <w:tcPr>
            <w:tcW w:w="240" w:type="dxa"/>
            <w:vAlign w:val="bottom"/>
          </w:tcPr>
          <w:p>
            <w:pPr>
              <w:spacing w:after="0"/>
              <w:rPr>
                <w:sz w:val="19"/>
                <w:szCs w:val="19"/>
                <w:color w:val="auto"/>
              </w:rPr>
            </w:pPr>
          </w:p>
        </w:tc>
        <w:tc>
          <w:tcPr>
            <w:tcW w:w="180" w:type="dxa"/>
            <w:vAlign w:val="bottom"/>
            <w:gridSpan w:val="2"/>
          </w:tcPr>
          <w:p>
            <w:pPr>
              <w:jc w:val="right"/>
              <w:ind w:right="93"/>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22,022,860</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600" w:type="dxa"/>
            <w:vAlign w:val="bottom"/>
            <w:tcBorders>
              <w:top w:val="single" w:sz="8" w:color="D2EEF5"/>
            </w:tcBorders>
            <w:shd w:val="clear" w:color="auto" w:fill="D2EEF5"/>
          </w:tcPr>
          <w:p>
            <w:pPr>
              <w:spacing w:after="0"/>
              <w:rPr>
                <w:sz w:val="13"/>
                <w:szCs w:val="13"/>
                <w:color w:val="auto"/>
              </w:rPr>
            </w:pPr>
          </w:p>
        </w:tc>
        <w:tc>
          <w:tcPr>
            <w:tcW w:w="120" w:type="dxa"/>
            <w:vAlign w:val="bottom"/>
            <w:tcBorders>
              <w:top w:val="single" w:sz="8" w:color="D2EEF5"/>
            </w:tcBorders>
            <w:shd w:val="clear" w:color="auto" w:fill="D2EEF5"/>
          </w:tcPr>
          <w:p>
            <w:pPr>
              <w:spacing w:after="0"/>
              <w:rPr>
                <w:sz w:val="13"/>
                <w:szCs w:val="13"/>
                <w:color w:val="auto"/>
              </w:rPr>
            </w:pPr>
          </w:p>
        </w:tc>
        <w:tc>
          <w:tcPr>
            <w:tcW w:w="140" w:type="dxa"/>
            <w:vAlign w:val="bottom"/>
            <w:tcBorders>
              <w:top w:val="single" w:sz="8" w:color="auto"/>
            </w:tcBorders>
            <w:shd w:val="clear" w:color="auto" w:fill="D2EEF5"/>
          </w:tcPr>
          <w:p>
            <w:pPr>
              <w:spacing w:after="0"/>
              <w:rPr>
                <w:sz w:val="13"/>
                <w:szCs w:val="13"/>
                <w:color w:val="auto"/>
              </w:rPr>
            </w:pPr>
          </w:p>
        </w:tc>
        <w:tc>
          <w:tcPr>
            <w:tcW w:w="1180" w:type="dxa"/>
            <w:vAlign w:val="bottom"/>
            <w:tcBorders>
              <w:top w:val="single" w:sz="8" w:color="auto"/>
            </w:tcBorders>
            <w:shd w:val="clear" w:color="auto" w:fill="D2EEF5"/>
          </w:tcPr>
          <w:p>
            <w:pPr>
              <w:spacing w:after="0"/>
              <w:rPr>
                <w:sz w:val="13"/>
                <w:szCs w:val="13"/>
                <w:color w:val="auto"/>
              </w:rPr>
            </w:pPr>
          </w:p>
        </w:tc>
        <w:tc>
          <w:tcPr>
            <w:tcW w:w="240" w:type="dxa"/>
            <w:vAlign w:val="bottom"/>
            <w:tcBorders>
              <w:top w:val="single" w:sz="8" w:color="D2EEF5"/>
            </w:tcBorders>
            <w:shd w:val="clear" w:color="auto" w:fill="D2EEF5"/>
          </w:tcPr>
          <w:p>
            <w:pPr>
              <w:spacing w:after="0"/>
              <w:rPr>
                <w:sz w:val="13"/>
                <w:szCs w:val="13"/>
                <w:color w:val="auto"/>
              </w:rPr>
            </w:pPr>
          </w:p>
        </w:tc>
        <w:tc>
          <w:tcPr>
            <w:tcW w:w="20" w:type="dxa"/>
            <w:vAlign w:val="bottom"/>
            <w:tcBorders>
              <w:top w:val="single" w:sz="8" w:color="D2EEF5"/>
            </w:tcBorders>
            <w:shd w:val="clear" w:color="auto" w:fill="D2EEF5"/>
          </w:tcPr>
          <w:p>
            <w:pPr>
              <w:spacing w:after="0"/>
              <w:rPr>
                <w:sz w:val="13"/>
                <w:szCs w:val="13"/>
                <w:color w:val="auto"/>
              </w:rPr>
            </w:pPr>
          </w:p>
        </w:tc>
        <w:tc>
          <w:tcPr>
            <w:tcW w:w="160" w:type="dxa"/>
            <w:vAlign w:val="bottom"/>
            <w:tcBorders>
              <w:top w:val="single" w:sz="8" w:color="auto"/>
            </w:tcBorders>
            <w:shd w:val="clear" w:color="auto" w:fill="D2EEF5"/>
          </w:tcPr>
          <w:p>
            <w:pPr>
              <w:spacing w:after="0"/>
              <w:rPr>
                <w:sz w:val="13"/>
                <w:szCs w:val="13"/>
                <w:color w:val="auto"/>
              </w:rPr>
            </w:pPr>
          </w:p>
        </w:tc>
        <w:tc>
          <w:tcPr>
            <w:tcW w:w="1160" w:type="dxa"/>
            <w:vAlign w:val="bottom"/>
            <w:tcBorders>
              <w:top w:val="single" w:sz="8" w:color="auto"/>
            </w:tcBorders>
            <w:shd w:val="clear" w:color="auto" w:fill="D2EEF5"/>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760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shd w:val="clear" w:color="auto" w:fill="D2EEF5"/>
          </w:tcPr>
          <w:p>
            <w:pPr>
              <w:spacing w:after="0"/>
              <w:rPr>
                <w:sz w:val="20"/>
                <w:szCs w:val="20"/>
                <w:color w:val="auto"/>
              </w:rPr>
            </w:pPr>
            <w:r>
              <w:rPr>
                <w:rFonts w:ascii="Arial" w:cs="Arial" w:eastAsia="Arial" w:hAnsi="Arial"/>
                <w:sz w:val="15"/>
                <w:szCs w:val="15"/>
                <w:color w:val="auto"/>
              </w:rPr>
              <w:t>Current liabilities:</w:t>
            </w: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18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tcPr>
          <w:p>
            <w:pPr>
              <w:ind w:left="8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1,299,384</w:t>
            </w:r>
          </w:p>
        </w:tc>
        <w:tc>
          <w:tcPr>
            <w:tcW w:w="240" w:type="dxa"/>
            <w:vAlign w:val="bottom"/>
          </w:tcPr>
          <w:p>
            <w:pPr>
              <w:spacing w:after="0"/>
              <w:rPr>
                <w:sz w:val="15"/>
                <w:szCs w:val="15"/>
                <w:color w:val="auto"/>
              </w:rPr>
            </w:pPr>
          </w:p>
        </w:tc>
        <w:tc>
          <w:tcPr>
            <w:tcW w:w="180" w:type="dxa"/>
            <w:vAlign w:val="bottom"/>
            <w:gridSpan w:val="2"/>
          </w:tcPr>
          <w:p>
            <w:pPr>
              <w:jc w:val="right"/>
              <w:ind w:right="93"/>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1,753,954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shd w:val="clear" w:color="auto" w:fill="D2EEF5"/>
          </w:tcPr>
          <w:p>
            <w:pPr>
              <w:ind w:left="80"/>
              <w:spacing w:after="0"/>
              <w:rPr>
                <w:sz w:val="20"/>
                <w:szCs w:val="20"/>
                <w:color w:val="auto"/>
              </w:rPr>
            </w:pPr>
            <w:r>
              <w:rPr>
                <w:rFonts w:ascii="Arial" w:cs="Arial" w:eastAsia="Arial" w:hAnsi="Arial"/>
                <w:sz w:val="15"/>
                <w:szCs w:val="15"/>
                <w:color w:val="auto"/>
              </w:rPr>
              <w:t>Related party payable</w:t>
            </w: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420" w:type="dxa"/>
            <w:vAlign w:val="bottom"/>
            <w:gridSpan w:val="2"/>
            <w:shd w:val="clear" w:color="auto" w:fill="D2EEF5"/>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1,710,500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tcBorders>
              <w:bottom w:val="single" w:sz="8" w:color="D2EEF5"/>
            </w:tcBorders>
          </w:tcPr>
          <w:p>
            <w:pPr>
              <w:ind w:left="80"/>
              <w:spacing w:after="0"/>
              <w:rPr>
                <w:sz w:val="20"/>
                <w:szCs w:val="20"/>
                <w:color w:val="auto"/>
              </w:rPr>
            </w:pPr>
            <w:r>
              <w:rPr>
                <w:rFonts w:ascii="Arial" w:cs="Arial" w:eastAsia="Arial" w:hAnsi="Arial"/>
                <w:sz w:val="15"/>
                <w:szCs w:val="15"/>
                <w:color w:val="auto"/>
              </w:rPr>
              <w:t>Deferred revenue</w:t>
            </w:r>
          </w:p>
        </w:tc>
        <w:tc>
          <w:tcPr>
            <w:tcW w:w="1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974,799</w:t>
            </w:r>
          </w:p>
        </w:tc>
        <w:tc>
          <w:tcPr>
            <w:tcW w:w="24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0" w:type="dxa"/>
            <w:vAlign w:val="bottom"/>
            <w:shd w:val="clear" w:color="auto" w:fill="D2EEF5"/>
          </w:tcPr>
          <w:p>
            <w:pPr>
              <w:ind w:left="180"/>
              <w:spacing w:after="0"/>
              <w:rPr>
                <w:sz w:val="20"/>
                <w:szCs w:val="20"/>
                <w:color w:val="auto"/>
              </w:rPr>
            </w:pPr>
            <w:r>
              <w:rPr>
                <w:rFonts w:ascii="Arial" w:cs="Arial" w:eastAsia="Arial" w:hAnsi="Arial"/>
                <w:sz w:val="15"/>
                <w:szCs w:val="15"/>
                <w:color w:val="auto"/>
              </w:rPr>
              <w:t>Total current liabilities</w:t>
            </w: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1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2,274,183</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3,464,454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Total liabilities</w:t>
            </w:r>
          </w:p>
        </w:tc>
        <w:tc>
          <w:tcPr>
            <w:tcW w:w="120" w:type="dxa"/>
            <w:vAlign w:val="bottom"/>
            <w:tcBorders>
              <w:bottom w:val="single" w:sz="8" w:color="D2EEF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2,274,183</w:t>
            </w:r>
          </w:p>
        </w:tc>
        <w:tc>
          <w:tcPr>
            <w:tcW w:w="240" w:type="dxa"/>
            <w:vAlign w:val="bottom"/>
            <w:tcBorders>
              <w:bottom w:val="single" w:sz="8" w:color="D2EEF5"/>
            </w:tcBorders>
          </w:tcPr>
          <w:p>
            <w:pPr>
              <w:spacing w:after="0"/>
              <w:rPr>
                <w:sz w:val="15"/>
                <w:szCs w:val="15"/>
                <w:color w:val="auto"/>
              </w:rPr>
            </w:pPr>
          </w:p>
        </w:tc>
        <w:tc>
          <w:tcPr>
            <w:tcW w:w="20" w:type="dxa"/>
            <w:vAlign w:val="bottom"/>
            <w:tcBorders>
              <w:bottom w:val="single" w:sz="8" w:color="D2EEF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3,464,454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18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6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tcPr>
          <w:p>
            <w:pPr>
              <w:spacing w:after="0"/>
              <w:rPr>
                <w:sz w:val="20"/>
                <w:szCs w:val="20"/>
                <w:color w:val="auto"/>
              </w:rPr>
            </w:pPr>
            <w:r>
              <w:rPr>
                <w:rFonts w:ascii="Arial" w:cs="Arial" w:eastAsia="Arial" w:hAnsi="Arial"/>
                <w:sz w:val="15"/>
                <w:szCs w:val="15"/>
                <w:color w:val="auto"/>
              </w:rPr>
              <w:t>Stockholders’ equity: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shd w:val="clear" w:color="auto" w:fill="D2EEF5"/>
          </w:tcPr>
          <w:p>
            <w:pPr>
              <w:ind w:left="80"/>
              <w:spacing w:after="0" w:line="161" w:lineRule="exact"/>
              <w:rPr>
                <w:sz w:val="20"/>
                <w:szCs w:val="20"/>
                <w:color w:val="auto"/>
              </w:rPr>
            </w:pPr>
            <w:r>
              <w:rPr>
                <w:rFonts w:ascii="Arial" w:cs="Arial" w:eastAsia="Arial" w:hAnsi="Arial"/>
                <w:sz w:val="15"/>
                <w:szCs w:val="15"/>
                <w:color w:val="auto"/>
                <w:w w:val="92"/>
              </w:rPr>
              <w:t>Preferred stock, $0.001 par value, 5 million shares authorized, 0 shares issued and outstanding at December 31, 2025 and</w:t>
            </w:r>
          </w:p>
        </w:tc>
        <w:tc>
          <w:tcPr>
            <w:tcW w:w="120" w:type="dxa"/>
            <w:vAlign w:val="bottom"/>
            <w:shd w:val="clear" w:color="auto" w:fill="D2EEF5"/>
          </w:tcPr>
          <w:p>
            <w:pPr>
              <w:spacing w:after="0"/>
              <w:rPr>
                <w:sz w:val="14"/>
                <w:szCs w:val="14"/>
                <w:color w:val="auto"/>
              </w:rPr>
            </w:pPr>
          </w:p>
        </w:tc>
        <w:tc>
          <w:tcPr>
            <w:tcW w:w="140" w:type="dxa"/>
            <w:vAlign w:val="bottom"/>
            <w:shd w:val="clear" w:color="auto" w:fill="D2EEF5"/>
          </w:tcPr>
          <w:p>
            <w:pPr>
              <w:spacing w:after="0"/>
              <w:rPr>
                <w:sz w:val="14"/>
                <w:szCs w:val="14"/>
                <w:color w:val="auto"/>
              </w:rPr>
            </w:pPr>
          </w:p>
        </w:tc>
        <w:tc>
          <w:tcPr>
            <w:tcW w:w="1180" w:type="dxa"/>
            <w:vAlign w:val="bottom"/>
            <w:shd w:val="clear" w:color="auto" w:fill="D2EEF5"/>
          </w:tcPr>
          <w:p>
            <w:pPr>
              <w:spacing w:after="0"/>
              <w:rPr>
                <w:sz w:val="14"/>
                <w:szCs w:val="14"/>
                <w:color w:val="auto"/>
              </w:rPr>
            </w:pPr>
          </w:p>
        </w:tc>
        <w:tc>
          <w:tcPr>
            <w:tcW w:w="240" w:type="dxa"/>
            <w:vAlign w:val="bottom"/>
            <w:shd w:val="clear" w:color="auto" w:fill="D2EEF5"/>
          </w:tcPr>
          <w:p>
            <w:pPr>
              <w:spacing w:after="0"/>
              <w:rPr>
                <w:sz w:val="14"/>
                <w:szCs w:val="14"/>
                <w:color w:val="auto"/>
              </w:rPr>
            </w:pPr>
          </w:p>
        </w:tc>
        <w:tc>
          <w:tcPr>
            <w:tcW w:w="20" w:type="dxa"/>
            <w:vAlign w:val="bottom"/>
            <w:shd w:val="clear" w:color="auto" w:fill="D2EEF5"/>
          </w:tcPr>
          <w:p>
            <w:pPr>
              <w:spacing w:after="0"/>
              <w:rPr>
                <w:sz w:val="14"/>
                <w:szCs w:val="14"/>
                <w:color w:val="auto"/>
              </w:rPr>
            </w:pPr>
          </w:p>
        </w:tc>
        <w:tc>
          <w:tcPr>
            <w:tcW w:w="160" w:type="dxa"/>
            <w:vAlign w:val="bottom"/>
            <w:shd w:val="clear" w:color="auto" w:fill="D2EEF5"/>
          </w:tcPr>
          <w:p>
            <w:pPr>
              <w:spacing w:after="0"/>
              <w:rPr>
                <w:sz w:val="14"/>
                <w:szCs w:val="14"/>
                <w:color w:val="auto"/>
              </w:rPr>
            </w:pPr>
          </w:p>
        </w:tc>
        <w:tc>
          <w:tcPr>
            <w:tcW w:w="1160" w:type="dxa"/>
            <w:vAlign w:val="bottom"/>
            <w:shd w:val="clear" w:color="auto" w:fill="D2EEF5"/>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0" w:type="dxa"/>
            <w:vAlign w:val="bottom"/>
            <w:shd w:val="clear" w:color="auto" w:fill="D2EEF5"/>
          </w:tcPr>
          <w:p>
            <w:pPr>
              <w:ind w:left="180"/>
              <w:spacing w:after="0"/>
              <w:rPr>
                <w:sz w:val="20"/>
                <w:szCs w:val="20"/>
                <w:color w:val="auto"/>
              </w:rPr>
            </w:pPr>
            <w:r>
              <w:rPr>
                <w:rFonts w:ascii="Arial" w:cs="Arial" w:eastAsia="Arial" w:hAnsi="Arial"/>
                <w:sz w:val="15"/>
                <w:szCs w:val="15"/>
                <w:color w:val="auto"/>
              </w:rPr>
              <w:t>2024, respectively</w:t>
            </w:r>
          </w:p>
        </w:tc>
        <w:tc>
          <w:tcPr>
            <w:tcW w:w="120" w:type="dxa"/>
            <w:vAlign w:val="bottom"/>
            <w:shd w:val="clear" w:color="auto" w:fill="D2EEF5"/>
          </w:tcPr>
          <w:p>
            <w:pPr>
              <w:spacing w:after="0"/>
              <w:rPr>
                <w:sz w:val="17"/>
                <w:szCs w:val="17"/>
                <w:color w:val="auto"/>
              </w:rPr>
            </w:pPr>
          </w:p>
        </w:tc>
        <w:tc>
          <w:tcPr>
            <w:tcW w:w="140" w:type="dxa"/>
            <w:vAlign w:val="bottom"/>
            <w:shd w:val="clear" w:color="auto" w:fill="D2EEF5"/>
          </w:tcPr>
          <w:p>
            <w:pPr>
              <w:spacing w:after="0"/>
              <w:rPr>
                <w:sz w:val="17"/>
                <w:szCs w:val="17"/>
                <w:color w:val="auto"/>
              </w:rPr>
            </w:pPr>
          </w:p>
        </w:tc>
        <w:tc>
          <w:tcPr>
            <w:tcW w:w="1420" w:type="dxa"/>
            <w:vAlign w:val="bottom"/>
            <w:gridSpan w:val="2"/>
            <w:shd w:val="clear" w:color="auto" w:fill="D2EEF5"/>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7"/>
                <w:szCs w:val="17"/>
                <w:color w:val="auto"/>
              </w:rPr>
            </w:pPr>
          </w:p>
        </w:tc>
        <w:tc>
          <w:tcPr>
            <w:tcW w:w="160" w:type="dxa"/>
            <w:vAlign w:val="bottom"/>
            <w:shd w:val="clear" w:color="auto" w:fill="D2EEF5"/>
          </w:tcPr>
          <w:p>
            <w:pPr>
              <w:spacing w:after="0"/>
              <w:rPr>
                <w:sz w:val="17"/>
                <w:szCs w:val="17"/>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0" w:type="dxa"/>
            <w:vAlign w:val="bottom"/>
          </w:tcPr>
          <w:p>
            <w:pPr>
              <w:ind w:left="80"/>
              <w:spacing w:after="0" w:line="161" w:lineRule="exact"/>
              <w:rPr>
                <w:sz w:val="20"/>
                <w:szCs w:val="20"/>
                <w:color w:val="auto"/>
              </w:rPr>
            </w:pPr>
            <w:r>
              <w:rPr>
                <w:rFonts w:ascii="Arial" w:cs="Arial" w:eastAsia="Arial" w:hAnsi="Arial"/>
                <w:sz w:val="15"/>
                <w:szCs w:val="15"/>
                <w:color w:val="auto"/>
              </w:rPr>
              <w:t>Common stock, $0.001 par value, 30 million shares authorized, 16.7 million and 10.7 million shares issued and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00" w:type="dxa"/>
            <w:vAlign w:val="bottom"/>
          </w:tcPr>
          <w:p>
            <w:pPr>
              <w:ind w:left="180"/>
              <w:spacing w:after="0"/>
              <w:rPr>
                <w:sz w:val="20"/>
                <w:szCs w:val="20"/>
                <w:color w:val="auto"/>
              </w:rPr>
            </w:pPr>
            <w:r>
              <w:rPr>
                <w:rFonts w:ascii="Arial" w:cs="Arial" w:eastAsia="Arial" w:hAnsi="Arial"/>
                <w:sz w:val="15"/>
                <w:szCs w:val="15"/>
                <w:color w:val="auto"/>
              </w:rPr>
              <w:t>outstanding as of December 31, 2025 and 2024, respectively (see Note 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16,672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10,708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shd w:val="clear" w:color="auto" w:fill="D2EEF5"/>
          </w:tcPr>
          <w:p>
            <w:pPr>
              <w:ind w:left="80"/>
              <w:spacing w:after="0"/>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1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475,960,940</w:t>
            </w:r>
          </w:p>
        </w:tc>
        <w:tc>
          <w:tcPr>
            <w:tcW w:w="2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465,564,876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tcPr>
          <w:p>
            <w:pPr>
              <w:ind w:left="80"/>
              <w:spacing w:after="0"/>
              <w:rPr>
                <w:sz w:val="20"/>
                <w:szCs w:val="20"/>
                <w:color w:val="auto"/>
              </w:rPr>
            </w:pPr>
            <w:r>
              <w:rPr>
                <w:rFonts w:ascii="Arial" w:cs="Arial" w:eastAsia="Arial" w:hAnsi="Arial"/>
                <w:sz w:val="15"/>
                <w:szCs w:val="15"/>
                <w:color w:val="auto"/>
              </w:rPr>
              <w:t>Accumulated deficit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(459,180,798)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(447,017,178)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0" w:type="dxa"/>
            <w:vAlign w:val="bottom"/>
            <w:tcBorders>
              <w:top w:val="single" w:sz="8" w:color="D2EEF5"/>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Total stockholders’ equity</w:t>
            </w:r>
          </w:p>
        </w:tc>
        <w:tc>
          <w:tcPr>
            <w:tcW w:w="120" w:type="dxa"/>
            <w:vAlign w:val="bottom"/>
            <w:tcBorders>
              <w:top w:val="single" w:sz="8" w:color="D2EEF5"/>
              <w:bottom w:val="single" w:sz="8" w:color="D2EEF5"/>
            </w:tcBorders>
            <w:shd w:val="clear" w:color="auto" w:fill="D2EEF5"/>
          </w:tcPr>
          <w:p>
            <w:pPr>
              <w:spacing w:after="0"/>
              <w:rPr>
                <w:sz w:val="16"/>
                <w:szCs w:val="16"/>
                <w:color w:val="auto"/>
              </w:rPr>
            </w:pPr>
          </w:p>
        </w:tc>
        <w:tc>
          <w:tcPr>
            <w:tcW w:w="140" w:type="dxa"/>
            <w:vAlign w:val="bottom"/>
            <w:tcBorders>
              <w:top w:val="single" w:sz="8" w:color="auto"/>
              <w:bottom w:val="single" w:sz="8" w:color="auto"/>
            </w:tcBorders>
            <w:shd w:val="clear" w:color="auto" w:fill="D2EEF5"/>
          </w:tcPr>
          <w:p>
            <w:pPr>
              <w:spacing w:after="0"/>
              <w:rPr>
                <w:sz w:val="16"/>
                <w:szCs w:val="16"/>
                <w:color w:val="auto"/>
              </w:rPr>
            </w:pPr>
          </w:p>
        </w:tc>
        <w:tc>
          <w:tcPr>
            <w:tcW w:w="11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16,796,814</w:t>
            </w:r>
          </w:p>
        </w:tc>
        <w:tc>
          <w:tcPr>
            <w:tcW w:w="240" w:type="dxa"/>
            <w:vAlign w:val="bottom"/>
            <w:tcBorders>
              <w:top w:val="single" w:sz="8" w:color="D2EEF5"/>
              <w:bottom w:val="single" w:sz="8" w:color="D2EEF5"/>
            </w:tcBorders>
            <w:shd w:val="clear" w:color="auto" w:fill="D2EEF5"/>
          </w:tcPr>
          <w:p>
            <w:pPr>
              <w:spacing w:after="0"/>
              <w:rPr>
                <w:sz w:val="16"/>
                <w:szCs w:val="16"/>
                <w:color w:val="auto"/>
              </w:rPr>
            </w:pPr>
          </w:p>
        </w:tc>
        <w:tc>
          <w:tcPr>
            <w:tcW w:w="20" w:type="dxa"/>
            <w:vAlign w:val="bottom"/>
            <w:tcBorders>
              <w:top w:val="single" w:sz="8" w:color="D2EEF5"/>
              <w:bottom w:val="single" w:sz="8" w:color="D2EEF5"/>
            </w:tcBorders>
            <w:shd w:val="clear" w:color="auto" w:fill="D2EEF5"/>
          </w:tcPr>
          <w:p>
            <w:pPr>
              <w:spacing w:after="0"/>
              <w:rPr>
                <w:sz w:val="16"/>
                <w:szCs w:val="16"/>
                <w:color w:val="auto"/>
              </w:rPr>
            </w:pPr>
          </w:p>
        </w:tc>
        <w:tc>
          <w:tcPr>
            <w:tcW w:w="160" w:type="dxa"/>
            <w:vAlign w:val="bottom"/>
            <w:tcBorders>
              <w:top w:val="single" w:sz="8" w:color="auto"/>
              <w:bottom w:val="single" w:sz="8" w:color="auto"/>
            </w:tcBorders>
            <w:shd w:val="clear" w:color="auto" w:fill="D2EEF5"/>
          </w:tcPr>
          <w:p>
            <w:pPr>
              <w:spacing w:after="0"/>
              <w:rPr>
                <w:sz w:val="16"/>
                <w:szCs w:val="16"/>
                <w:color w:val="auto"/>
              </w:rPr>
            </w:pPr>
          </w:p>
        </w:tc>
        <w:tc>
          <w:tcPr>
            <w:tcW w:w="11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18,558,406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0" w:type="dxa"/>
            <w:vAlign w:val="bottom"/>
          </w:tcPr>
          <w:p>
            <w:pPr>
              <w:spacing w:after="0" w:line="154" w:lineRule="exact"/>
              <w:rPr>
                <w:sz w:val="20"/>
                <w:szCs w:val="20"/>
                <w:color w:val="auto"/>
              </w:rPr>
            </w:pPr>
            <w:r>
              <w:rPr>
                <w:rFonts w:ascii="Arial" w:cs="Arial" w:eastAsia="Arial" w:hAnsi="Arial"/>
                <w:sz w:val="15"/>
                <w:szCs w:val="15"/>
                <w:b w:val="1"/>
                <w:bCs w:val="1"/>
                <w:color w:val="auto"/>
              </w:rPr>
              <w:t>Total liabilities and stockholders’ equity</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19,070,997</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ind w:right="93"/>
              <w:spacing w:after="0"/>
              <w:rPr>
                <w:sz w:val="20"/>
                <w:szCs w:val="20"/>
                <w:color w:val="auto"/>
              </w:rPr>
            </w:pPr>
            <w:r>
              <w:rPr>
                <w:rFonts w:ascii="Arial" w:cs="Arial" w:eastAsia="Arial" w:hAnsi="Arial"/>
                <w:sz w:val="5"/>
                <w:szCs w:val="5"/>
                <w:b w:val="1"/>
                <w:bCs w:val="1"/>
                <w:color w:val="auto"/>
                <w:w w:val="70"/>
              </w:rPr>
              <w:t>$</w:t>
            </w:r>
          </w:p>
        </w:tc>
        <w:tc>
          <w:tcPr>
            <w:tcW w:w="11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22,022,860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ectPr>
          <w:pgSz w:w="11900" w:h="16834" w:orient="portrait"/>
          <w:cols w:equalWidth="0" w:num="1">
            <w:col w:w="10640"/>
          </w:cols>
          <w:pgMar w:left="620" w:top="1440" w:right="634"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MARKER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91" w:lineRule="exact"/>
        <w:rPr>
          <w:sz w:val="20"/>
          <w:szCs w:val="20"/>
          <w:color w:val="auto"/>
        </w:rPr>
      </w:pPr>
    </w:p>
    <w:p>
      <w:pPr>
        <w:ind w:left="8720"/>
        <w:spacing w:after="0"/>
        <w:rPr>
          <w:sz w:val="20"/>
          <w:szCs w:val="20"/>
          <w:color w:val="auto"/>
        </w:rPr>
      </w:pPr>
      <w:r>
        <w:rPr>
          <w:rFonts w:ascii="Arial" w:cs="Arial" w:eastAsia="Arial" w:hAnsi="Arial"/>
          <w:sz w:val="12"/>
          <w:szCs w:val="12"/>
          <w:b w:val="1"/>
          <w:bCs w:val="1"/>
          <w:color w:val="auto"/>
        </w:rPr>
        <w:t>For the Years Ended</w:t>
      </w:r>
    </w:p>
    <w:p>
      <w:pPr>
        <w:ind w:left="888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1"/>
        </w:trPr>
        <w:tc>
          <w:tcPr>
            <w:tcW w:w="5700" w:type="dxa"/>
            <w:vAlign w:val="bottom"/>
            <w:tcBorders>
              <w:bottom w:val="single" w:sz="8" w:color="D2EEF5"/>
            </w:tcBorders>
          </w:tcPr>
          <w:p>
            <w:pPr>
              <w:spacing w:after="0"/>
              <w:rPr>
                <w:sz w:val="11"/>
                <w:szCs w:val="11"/>
                <w:color w:val="auto"/>
              </w:rPr>
            </w:pPr>
          </w:p>
        </w:tc>
        <w:tc>
          <w:tcPr>
            <w:tcW w:w="2160" w:type="dxa"/>
            <w:vAlign w:val="bottom"/>
            <w:tcBorders>
              <w:bottom w:val="single" w:sz="8" w:color="D2EEF5"/>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45"/>
              <w:spacing w:after="0" w:line="131"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bottom w:val="single" w:sz="8" w:color="D2EEF5"/>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65"/>
              <w:spacing w:after="0" w:line="131"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70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Revenues:</w:t>
            </w:r>
          </w:p>
        </w:tc>
        <w:tc>
          <w:tcPr>
            <w:tcW w:w="21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20" w:type="dxa"/>
            <w:vAlign w:val="bottom"/>
            <w:tcBorders>
              <w:right w:val="single" w:sz="8" w:color="D2EEF5"/>
            </w:tcBorders>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ind w:left="100"/>
              <w:spacing w:after="0"/>
              <w:rPr>
                <w:sz w:val="20"/>
                <w:szCs w:val="20"/>
                <w:color w:val="auto"/>
              </w:rPr>
            </w:pPr>
            <w:r>
              <w:rPr>
                <w:rFonts w:ascii="Arial" w:cs="Arial" w:eastAsia="Arial" w:hAnsi="Arial"/>
                <w:sz w:val="15"/>
                <w:szCs w:val="15"/>
                <w:color w:val="auto"/>
              </w:rPr>
              <w:t>Grant income</w:t>
            </w:r>
          </w:p>
        </w:tc>
        <w:tc>
          <w:tcPr>
            <w:tcW w:w="2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3,546,669</w:t>
            </w:r>
          </w:p>
        </w:tc>
        <w:tc>
          <w:tcPr>
            <w:tcW w:w="22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6,591,080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700" w:type="dxa"/>
            <w:vAlign w:val="bottom"/>
            <w:tcBorders>
              <w:top w:val="single" w:sz="8" w:color="D2EEF5"/>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Total revenues</w:t>
            </w:r>
          </w:p>
        </w:tc>
        <w:tc>
          <w:tcPr>
            <w:tcW w:w="2160" w:type="dxa"/>
            <w:vAlign w:val="bottom"/>
            <w:tcBorders>
              <w:top w:val="single" w:sz="8" w:color="D2EEF5"/>
              <w:bottom w:val="single" w:sz="8" w:color="D2EEF5"/>
            </w:tcBorders>
            <w:shd w:val="clear" w:color="auto" w:fill="D2EEF5"/>
          </w:tcPr>
          <w:p>
            <w:pPr>
              <w:spacing w:after="0"/>
              <w:rPr>
                <w:sz w:val="16"/>
                <w:szCs w:val="16"/>
                <w:color w:val="auto"/>
              </w:rPr>
            </w:pPr>
          </w:p>
        </w:tc>
        <w:tc>
          <w:tcPr>
            <w:tcW w:w="280" w:type="dxa"/>
            <w:vAlign w:val="bottom"/>
            <w:tcBorders>
              <w:top w:val="single" w:sz="8" w:color="auto"/>
              <w:bottom w:val="single" w:sz="8" w:color="auto"/>
            </w:tcBorders>
            <w:shd w:val="clear" w:color="auto" w:fill="D2EEF5"/>
          </w:tcPr>
          <w:p>
            <w:pPr>
              <w:spacing w:after="0"/>
              <w:rPr>
                <w:sz w:val="16"/>
                <w:szCs w:val="16"/>
                <w:color w:val="auto"/>
              </w:rPr>
            </w:pPr>
          </w:p>
        </w:tc>
        <w:tc>
          <w:tcPr>
            <w:tcW w:w="10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3,546,669</w:t>
            </w:r>
          </w:p>
        </w:tc>
        <w:tc>
          <w:tcPr>
            <w:tcW w:w="220" w:type="dxa"/>
            <w:vAlign w:val="bottom"/>
            <w:tcBorders>
              <w:top w:val="single" w:sz="8" w:color="D2EEF5"/>
              <w:bottom w:val="single" w:sz="8" w:color="D2EEF5"/>
            </w:tcBorders>
            <w:shd w:val="clear" w:color="auto" w:fill="D2EEF5"/>
          </w:tcPr>
          <w:p>
            <w:pPr>
              <w:spacing w:after="0"/>
              <w:rPr>
                <w:sz w:val="16"/>
                <w:szCs w:val="16"/>
                <w:color w:val="auto"/>
              </w:rPr>
            </w:pPr>
          </w:p>
        </w:tc>
        <w:tc>
          <w:tcPr>
            <w:tcW w:w="280" w:type="dxa"/>
            <w:vAlign w:val="bottom"/>
            <w:tcBorders>
              <w:top w:val="single" w:sz="8" w:color="auto"/>
              <w:bottom w:val="single" w:sz="8" w:color="auto"/>
            </w:tcBorders>
            <w:shd w:val="clear" w:color="auto" w:fill="D2EEF5"/>
          </w:tcPr>
          <w:p>
            <w:pPr>
              <w:spacing w:after="0"/>
              <w:rPr>
                <w:sz w:val="16"/>
                <w:szCs w:val="16"/>
                <w:color w:val="auto"/>
              </w:rPr>
            </w:pPr>
          </w:p>
        </w:tc>
        <w:tc>
          <w:tcPr>
            <w:tcW w:w="1020" w:type="dxa"/>
            <w:vAlign w:val="bottom"/>
            <w:tcBorders>
              <w:top w:val="single" w:sz="8" w:color="auto"/>
              <w:bottom w:val="single" w:sz="8" w:color="auto"/>
              <w:right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rPr>
              <w:t>6,591,080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700" w:type="dxa"/>
            <w:vAlign w:val="bottom"/>
          </w:tcPr>
          <w:p>
            <w:pPr>
              <w:spacing w:after="0" w:line="154" w:lineRule="exact"/>
              <w:rPr>
                <w:sz w:val="20"/>
                <w:szCs w:val="20"/>
                <w:color w:val="auto"/>
              </w:rPr>
            </w:pPr>
            <w:r>
              <w:rPr>
                <w:rFonts w:ascii="Arial" w:cs="Arial" w:eastAsia="Arial" w:hAnsi="Arial"/>
                <w:sz w:val="15"/>
                <w:szCs w:val="15"/>
                <w:b w:val="1"/>
                <w:bCs w:val="1"/>
                <w:color w:val="auto"/>
              </w:rPr>
              <w:t>Operating expenses:</w:t>
            </w: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D2EEF5"/>
          </w:tcPr>
          <w:p>
            <w:pPr>
              <w:ind w:left="100"/>
              <w:spacing w:after="0"/>
              <w:rPr>
                <w:sz w:val="20"/>
                <w:szCs w:val="20"/>
                <w:color w:val="auto"/>
              </w:rPr>
            </w:pPr>
            <w:r>
              <w:rPr>
                <w:rFonts w:ascii="Arial" w:cs="Arial" w:eastAsia="Arial" w:hAnsi="Arial"/>
                <w:sz w:val="15"/>
                <w:szCs w:val="15"/>
                <w:color w:val="auto"/>
              </w:rPr>
              <w:t>Research and development</w:t>
            </w:r>
          </w:p>
        </w:tc>
        <w:tc>
          <w:tcPr>
            <w:tcW w:w="21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11,799,154</w:t>
            </w: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20" w:type="dxa"/>
            <w:vAlign w:val="bottom"/>
            <w:tcBorders>
              <w:right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rPr>
              <w:t>13,467,845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ind w:left="100"/>
              <w:spacing w:after="0"/>
              <w:rPr>
                <w:sz w:val="20"/>
                <w:szCs w:val="20"/>
                <w:color w:val="auto"/>
              </w:rPr>
            </w:pPr>
            <w:r>
              <w:rPr>
                <w:rFonts w:ascii="Arial" w:cs="Arial" w:eastAsia="Arial" w:hAnsi="Arial"/>
                <w:sz w:val="15"/>
                <w:szCs w:val="15"/>
                <w:color w:val="auto"/>
              </w:rPr>
              <w:t>General and administrative</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4,184,806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4,241,607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D2EEF5"/>
          </w:tcPr>
          <w:p>
            <w:pPr>
              <w:ind w:left="100"/>
              <w:spacing w:after="0"/>
              <w:rPr>
                <w:sz w:val="20"/>
                <w:szCs w:val="20"/>
                <w:color w:val="auto"/>
              </w:rPr>
            </w:pPr>
            <w:r>
              <w:rPr>
                <w:rFonts w:ascii="Arial" w:cs="Arial" w:eastAsia="Arial" w:hAnsi="Arial"/>
                <w:sz w:val="15"/>
                <w:szCs w:val="15"/>
                <w:color w:val="auto"/>
              </w:rPr>
              <w:t>Loss on early termination of vendor agreement</w:t>
            </w:r>
          </w:p>
        </w:tc>
        <w:tc>
          <w:tcPr>
            <w:tcW w:w="21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453,135</w:t>
            </w: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20" w:type="dxa"/>
            <w:vAlign w:val="bottom"/>
            <w:tcBorders>
              <w:right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0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Total operating expenses</w:t>
            </w:r>
          </w:p>
        </w:tc>
        <w:tc>
          <w:tcPr>
            <w:tcW w:w="2160" w:type="dxa"/>
            <w:vAlign w:val="bottom"/>
            <w:tcBorders>
              <w:bottom w:val="single" w:sz="8" w:color="D2EEF5"/>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16,437,095</w:t>
            </w:r>
          </w:p>
        </w:tc>
        <w:tc>
          <w:tcPr>
            <w:tcW w:w="220" w:type="dxa"/>
            <w:vAlign w:val="bottom"/>
            <w:tcBorders>
              <w:bottom w:val="single" w:sz="8" w:color="D2EEF5"/>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17,709,452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00" w:type="dxa"/>
            <w:vAlign w:val="bottom"/>
            <w:shd w:val="clear" w:color="auto" w:fill="D2EEF5"/>
          </w:tcPr>
          <w:p>
            <w:pPr>
              <w:spacing w:after="0"/>
              <w:rPr>
                <w:sz w:val="20"/>
                <w:szCs w:val="20"/>
                <w:color w:val="auto"/>
              </w:rPr>
            </w:pPr>
            <w:r>
              <w:rPr>
                <w:rFonts w:ascii="Arial" w:cs="Arial" w:eastAsia="Arial" w:hAnsi="Arial"/>
                <w:sz w:val="15"/>
                <w:szCs w:val="15"/>
                <w:color w:val="auto"/>
              </w:rPr>
              <w:t>Loss from operations</w:t>
            </w:r>
          </w:p>
        </w:tc>
        <w:tc>
          <w:tcPr>
            <w:tcW w:w="21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(12,890,426)</w:t>
            </w: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20" w:type="dxa"/>
            <w:vAlign w:val="bottom"/>
            <w:tcBorders>
              <w:right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rPr>
              <w:t>(11,118,372)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20"/>
                <w:szCs w:val="20"/>
                <w:color w:val="auto"/>
              </w:rPr>
            </w:pPr>
            <w:r>
              <w:rPr>
                <w:rFonts w:ascii="Arial" w:cs="Arial" w:eastAsia="Arial" w:hAnsi="Arial"/>
                <w:sz w:val="15"/>
                <w:szCs w:val="15"/>
                <w:b w:val="1"/>
                <w:bCs w:val="1"/>
                <w:color w:val="auto"/>
              </w:rPr>
              <w:t>Other income:</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D2EEF5"/>
          </w:tcPr>
          <w:p>
            <w:pPr>
              <w:ind w:left="100"/>
              <w:spacing w:after="0"/>
              <w:rPr>
                <w:sz w:val="20"/>
                <w:szCs w:val="20"/>
                <w:color w:val="auto"/>
              </w:rPr>
            </w:pPr>
            <w:r>
              <w:rPr>
                <w:rFonts w:ascii="Arial" w:cs="Arial" w:eastAsia="Arial" w:hAnsi="Arial"/>
                <w:sz w:val="15"/>
                <w:szCs w:val="15"/>
                <w:color w:val="auto"/>
              </w:rPr>
              <w:t>Interest income</w:t>
            </w:r>
          </w:p>
        </w:tc>
        <w:tc>
          <w:tcPr>
            <w:tcW w:w="21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594,206</w:t>
            </w: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20" w:type="dxa"/>
            <w:vAlign w:val="bottom"/>
            <w:tcBorders>
              <w:right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rPr>
              <w:t>437,010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ind w:left="100"/>
              <w:spacing w:after="0"/>
              <w:rPr>
                <w:sz w:val="20"/>
                <w:szCs w:val="20"/>
                <w:color w:val="auto"/>
              </w:rPr>
            </w:pPr>
            <w:r>
              <w:rPr>
                <w:rFonts w:ascii="Arial" w:cs="Arial" w:eastAsia="Arial" w:hAnsi="Arial"/>
                <w:sz w:val="15"/>
                <w:szCs w:val="15"/>
                <w:color w:val="auto"/>
              </w:rPr>
              <w:t>Other income</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117,444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Loss from operations before income taxes</w:t>
            </w:r>
          </w:p>
        </w:tc>
        <w:tc>
          <w:tcPr>
            <w:tcW w:w="2160" w:type="dxa"/>
            <w:vAlign w:val="bottom"/>
            <w:tcBorders>
              <w:top w:val="single" w:sz="8" w:color="D2EEF5"/>
            </w:tcBorders>
            <w:shd w:val="clear" w:color="auto" w:fill="D2EEF5"/>
          </w:tcPr>
          <w:p>
            <w:pPr>
              <w:spacing w:after="0"/>
              <w:rPr>
                <w:sz w:val="15"/>
                <w:szCs w:val="15"/>
                <w:color w:val="auto"/>
              </w:rPr>
            </w:pPr>
          </w:p>
        </w:tc>
        <w:tc>
          <w:tcPr>
            <w:tcW w:w="280" w:type="dxa"/>
            <w:vAlign w:val="bottom"/>
            <w:tcBorders>
              <w:top w:val="single" w:sz="8" w:color="auto"/>
            </w:tcBorders>
            <w:shd w:val="clear" w:color="auto" w:fill="D2EEF5"/>
          </w:tcPr>
          <w:p>
            <w:pPr>
              <w:spacing w:after="0"/>
              <w:rPr>
                <w:sz w:val="15"/>
                <w:szCs w:val="15"/>
                <w:color w:val="auto"/>
              </w:rPr>
            </w:pPr>
          </w:p>
        </w:tc>
        <w:tc>
          <w:tcPr>
            <w:tcW w:w="10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(12,178,776)</w:t>
            </w:r>
          </w:p>
        </w:tc>
        <w:tc>
          <w:tcPr>
            <w:tcW w:w="220" w:type="dxa"/>
            <w:vAlign w:val="bottom"/>
            <w:tcBorders>
              <w:top w:val="single" w:sz="8" w:color="D2EEF5"/>
            </w:tcBorders>
            <w:shd w:val="clear" w:color="auto" w:fill="D2EEF5"/>
          </w:tcPr>
          <w:p>
            <w:pPr>
              <w:spacing w:after="0"/>
              <w:rPr>
                <w:sz w:val="15"/>
                <w:szCs w:val="15"/>
                <w:color w:val="auto"/>
              </w:rPr>
            </w:pPr>
          </w:p>
        </w:tc>
        <w:tc>
          <w:tcPr>
            <w:tcW w:w="280" w:type="dxa"/>
            <w:vAlign w:val="bottom"/>
            <w:tcBorders>
              <w:top w:val="single" w:sz="8" w:color="auto"/>
            </w:tcBorders>
            <w:shd w:val="clear" w:color="auto" w:fill="D2EEF5"/>
          </w:tcPr>
          <w:p>
            <w:pPr>
              <w:spacing w:after="0"/>
              <w:rPr>
                <w:sz w:val="15"/>
                <w:szCs w:val="15"/>
                <w:color w:val="auto"/>
              </w:rPr>
            </w:pPr>
          </w:p>
        </w:tc>
        <w:tc>
          <w:tcPr>
            <w:tcW w:w="1020" w:type="dxa"/>
            <w:vAlign w:val="bottom"/>
            <w:tcBorders>
              <w:top w:val="single" w:sz="8" w:color="auto"/>
              <w:right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rPr>
              <w:t>(10,681,362)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ind w:left="100"/>
              <w:spacing w:after="0"/>
              <w:rPr>
                <w:sz w:val="20"/>
                <w:szCs w:val="20"/>
                <w:color w:val="auto"/>
              </w:rPr>
            </w:pPr>
            <w:r>
              <w:rPr>
                <w:rFonts w:ascii="Arial" w:cs="Arial" w:eastAsia="Arial" w:hAnsi="Arial"/>
                <w:sz w:val="15"/>
                <w:szCs w:val="15"/>
                <w:color w:val="auto"/>
              </w:rPr>
              <w:t>Income tax (benefit) expense</w:t>
            </w: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(15,156)</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49,953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0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Net loss</w:t>
            </w:r>
          </w:p>
        </w:tc>
        <w:tc>
          <w:tcPr>
            <w:tcW w:w="2160" w:type="dxa"/>
            <w:vAlign w:val="bottom"/>
            <w:tcBorders>
              <w:top w:val="single" w:sz="8" w:color="D2EEF5"/>
            </w:tcBorders>
            <w:shd w:val="clear" w:color="auto" w:fill="D2EEF5"/>
          </w:tcPr>
          <w:p>
            <w:pPr>
              <w:spacing w:after="0"/>
              <w:rPr>
                <w:sz w:val="15"/>
                <w:szCs w:val="15"/>
                <w:color w:val="auto"/>
              </w:rPr>
            </w:pPr>
          </w:p>
        </w:tc>
        <w:tc>
          <w:tcPr>
            <w:tcW w:w="280" w:type="dxa"/>
            <w:vAlign w:val="bottom"/>
            <w:tcBorders>
              <w:top w:val="single" w:sz="8" w:color="auto"/>
            </w:tcBorders>
            <w:shd w:val="clear" w:color="auto" w:fill="D2EEF5"/>
          </w:tcPr>
          <w:p>
            <w:pPr>
              <w:spacing w:after="0"/>
              <w:rPr>
                <w:sz w:val="15"/>
                <w:szCs w:val="15"/>
                <w:color w:val="auto"/>
              </w:rPr>
            </w:pPr>
          </w:p>
        </w:tc>
        <w:tc>
          <w:tcPr>
            <w:tcW w:w="10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(12,163,620)</w:t>
            </w:r>
          </w:p>
        </w:tc>
        <w:tc>
          <w:tcPr>
            <w:tcW w:w="220" w:type="dxa"/>
            <w:vAlign w:val="bottom"/>
            <w:tcBorders>
              <w:top w:val="single" w:sz="8" w:color="D2EEF5"/>
            </w:tcBorders>
            <w:shd w:val="clear" w:color="auto" w:fill="D2EEF5"/>
          </w:tcPr>
          <w:p>
            <w:pPr>
              <w:spacing w:after="0"/>
              <w:rPr>
                <w:sz w:val="15"/>
                <w:szCs w:val="15"/>
                <w:color w:val="auto"/>
              </w:rPr>
            </w:pPr>
          </w:p>
        </w:tc>
        <w:tc>
          <w:tcPr>
            <w:tcW w:w="280" w:type="dxa"/>
            <w:vAlign w:val="bottom"/>
            <w:tcBorders>
              <w:top w:val="single" w:sz="8" w:color="auto"/>
            </w:tcBorders>
            <w:shd w:val="clear" w:color="auto" w:fill="D2EEF5"/>
          </w:tcPr>
          <w:p>
            <w:pPr>
              <w:spacing w:after="0"/>
              <w:rPr>
                <w:sz w:val="15"/>
                <w:szCs w:val="15"/>
                <w:color w:val="auto"/>
              </w:rPr>
            </w:pPr>
          </w:p>
        </w:tc>
        <w:tc>
          <w:tcPr>
            <w:tcW w:w="1020" w:type="dxa"/>
            <w:vAlign w:val="bottom"/>
            <w:tcBorders>
              <w:top w:val="single" w:sz="8" w:color="auto"/>
              <w:right w:val="single" w:sz="8" w:color="D2EEF5"/>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(10,731,315)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D2EEF5"/>
          </w:tcPr>
          <w:p>
            <w:pPr>
              <w:ind w:left="100"/>
              <w:spacing w:after="0"/>
              <w:rPr>
                <w:sz w:val="20"/>
                <w:szCs w:val="20"/>
                <w:color w:val="auto"/>
              </w:rPr>
            </w:pPr>
            <w:r>
              <w:rPr>
                <w:rFonts w:ascii="Arial" w:cs="Arial" w:eastAsia="Arial" w:hAnsi="Arial"/>
                <w:sz w:val="15"/>
                <w:szCs w:val="15"/>
                <w:color w:val="auto"/>
              </w:rPr>
              <w:t>Net loss per share, basic and diluted</w:t>
            </w:r>
          </w:p>
        </w:tc>
        <w:tc>
          <w:tcPr>
            <w:tcW w:w="244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(0.79)</w:t>
            </w:r>
          </w:p>
        </w:tc>
        <w:tc>
          <w:tcPr>
            <w:tcW w:w="280" w:type="dxa"/>
            <w:vAlign w:val="bottom"/>
            <w:shd w:val="clear" w:color="auto" w:fill="D2EEF5"/>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rPr>
              <w:t>(1.19)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D2EEF5"/>
            </w:tcBorders>
          </w:tcPr>
          <w:p>
            <w:pPr>
              <w:spacing w:after="0" w:line="20" w:lineRule="exact"/>
              <w:rPr>
                <w:sz w:val="1"/>
                <w:szCs w:val="1"/>
                <w:color w:val="auto"/>
              </w:rPr>
            </w:pPr>
          </w:p>
        </w:tc>
        <w:tc>
          <w:tcPr>
            <w:tcW w:w="216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2EEF5"/>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D2EEF5"/>
          </w:tcPr>
          <w:p>
            <w:pPr>
              <w:spacing w:after="0"/>
              <w:rPr>
                <w:sz w:val="20"/>
                <w:szCs w:val="20"/>
                <w:color w:val="auto"/>
              </w:rPr>
            </w:pPr>
            <w:r>
              <w:rPr>
                <w:rFonts w:ascii="Arial" w:cs="Arial" w:eastAsia="Arial" w:hAnsi="Arial"/>
                <w:sz w:val="15"/>
                <w:szCs w:val="15"/>
                <w:color w:val="auto"/>
              </w:rPr>
              <w:t>Weighted average number of common shares outstanding:</w:t>
            </w:r>
          </w:p>
        </w:tc>
        <w:tc>
          <w:tcPr>
            <w:tcW w:w="216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20" w:type="dxa"/>
            <w:vAlign w:val="bottom"/>
            <w:tcBorders>
              <w:right w:val="single" w:sz="8" w:color="D2EEF5"/>
            </w:tcBorders>
            <w:shd w:val="clear" w:color="auto" w:fill="D2EEF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D2EEF5"/>
            </w:tcBorders>
          </w:tcPr>
          <w:p>
            <w:pPr>
              <w:ind w:left="100"/>
              <w:spacing w:after="0"/>
              <w:rPr>
                <w:sz w:val="20"/>
                <w:szCs w:val="20"/>
                <w:color w:val="auto"/>
              </w:rPr>
            </w:pPr>
            <w:r>
              <w:rPr>
                <w:rFonts w:ascii="Arial" w:cs="Arial" w:eastAsia="Arial" w:hAnsi="Arial"/>
                <w:sz w:val="15"/>
                <w:szCs w:val="15"/>
                <w:color w:val="auto"/>
              </w:rPr>
              <w:t>Basic</w:t>
            </w:r>
          </w:p>
        </w:tc>
        <w:tc>
          <w:tcPr>
            <w:tcW w:w="2160" w:type="dxa"/>
            <w:vAlign w:val="bottom"/>
            <w:tcBorders>
              <w:bottom w:val="single" w:sz="8" w:color="D2EE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15,310,308</w:t>
            </w:r>
          </w:p>
        </w:tc>
        <w:tc>
          <w:tcPr>
            <w:tcW w:w="220" w:type="dxa"/>
            <w:vAlign w:val="bottom"/>
            <w:tcBorders>
              <w:bottom w:val="single" w:sz="8" w:color="D2EEF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8,980,207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5700" w:type="dxa"/>
            <w:vAlign w:val="bottom"/>
            <w:tcBorders>
              <w:bottom w:val="single" w:sz="8" w:color="D2EEF5"/>
            </w:tcBorders>
            <w:shd w:val="clear" w:color="auto" w:fill="D2EEF5"/>
          </w:tcPr>
          <w:p>
            <w:pPr>
              <w:ind w:left="100"/>
              <w:spacing w:after="0" w:line="157" w:lineRule="exact"/>
              <w:rPr>
                <w:sz w:val="20"/>
                <w:szCs w:val="20"/>
                <w:color w:val="auto"/>
              </w:rPr>
            </w:pPr>
            <w:r>
              <w:rPr>
                <w:rFonts w:ascii="Arial" w:cs="Arial" w:eastAsia="Arial" w:hAnsi="Arial"/>
                <w:sz w:val="15"/>
                <w:szCs w:val="15"/>
                <w:color w:val="auto"/>
              </w:rPr>
              <w:t>Diluted</w:t>
            </w:r>
          </w:p>
        </w:tc>
        <w:tc>
          <w:tcPr>
            <w:tcW w:w="2160" w:type="dxa"/>
            <w:vAlign w:val="bottom"/>
            <w:tcBorders>
              <w:bottom w:val="single" w:sz="8" w:color="D2EEF5"/>
            </w:tcBorders>
            <w:shd w:val="clear" w:color="auto" w:fill="D2EEF5"/>
          </w:tcPr>
          <w:p>
            <w:pPr>
              <w:spacing w:after="0"/>
              <w:rPr>
                <w:sz w:val="13"/>
                <w:szCs w:val="13"/>
                <w:color w:val="auto"/>
              </w:rPr>
            </w:pPr>
          </w:p>
        </w:tc>
        <w:tc>
          <w:tcPr>
            <w:tcW w:w="280" w:type="dxa"/>
            <w:vAlign w:val="bottom"/>
            <w:tcBorders>
              <w:bottom w:val="single" w:sz="8" w:color="auto"/>
            </w:tcBorders>
            <w:shd w:val="clear" w:color="auto" w:fill="D2EEF5"/>
          </w:tcPr>
          <w:p>
            <w:pPr>
              <w:spacing w:after="0"/>
              <w:rPr>
                <w:sz w:val="13"/>
                <w:szCs w:val="13"/>
                <w:color w:val="auto"/>
              </w:rPr>
            </w:pPr>
          </w:p>
        </w:tc>
        <w:tc>
          <w:tcPr>
            <w:tcW w:w="1000" w:type="dxa"/>
            <w:vAlign w:val="bottom"/>
            <w:tcBorders>
              <w:bottom w:val="single" w:sz="8" w:color="auto"/>
            </w:tcBorders>
            <w:shd w:val="clear" w:color="auto" w:fill="D2EEF5"/>
          </w:tcPr>
          <w:p>
            <w:pPr>
              <w:jc w:val="right"/>
              <w:spacing w:after="0" w:line="157" w:lineRule="exact"/>
              <w:rPr>
                <w:sz w:val="20"/>
                <w:szCs w:val="20"/>
                <w:color w:val="auto"/>
              </w:rPr>
            </w:pPr>
            <w:r>
              <w:rPr>
                <w:rFonts w:ascii="Arial" w:cs="Arial" w:eastAsia="Arial" w:hAnsi="Arial"/>
                <w:sz w:val="15"/>
                <w:szCs w:val="15"/>
                <w:color w:val="auto"/>
              </w:rPr>
              <w:t>15,310,308</w:t>
            </w:r>
          </w:p>
        </w:tc>
        <w:tc>
          <w:tcPr>
            <w:tcW w:w="220" w:type="dxa"/>
            <w:vAlign w:val="bottom"/>
            <w:tcBorders>
              <w:bottom w:val="single" w:sz="8" w:color="D2EEF5"/>
            </w:tcBorders>
            <w:shd w:val="clear" w:color="auto" w:fill="D2EEF5"/>
          </w:tcPr>
          <w:p>
            <w:pPr>
              <w:spacing w:after="0"/>
              <w:rPr>
                <w:sz w:val="13"/>
                <w:szCs w:val="13"/>
                <w:color w:val="auto"/>
              </w:rPr>
            </w:pPr>
          </w:p>
        </w:tc>
        <w:tc>
          <w:tcPr>
            <w:tcW w:w="280" w:type="dxa"/>
            <w:vAlign w:val="bottom"/>
            <w:tcBorders>
              <w:bottom w:val="single" w:sz="8" w:color="auto"/>
            </w:tcBorders>
            <w:shd w:val="clear" w:color="auto" w:fill="D2EEF5"/>
          </w:tcPr>
          <w:p>
            <w:pPr>
              <w:spacing w:after="0"/>
              <w:rPr>
                <w:sz w:val="13"/>
                <w:szCs w:val="13"/>
                <w:color w:val="auto"/>
              </w:rPr>
            </w:pPr>
          </w:p>
        </w:tc>
        <w:tc>
          <w:tcPr>
            <w:tcW w:w="1020" w:type="dxa"/>
            <w:vAlign w:val="bottom"/>
            <w:tcBorders>
              <w:bottom w:val="single" w:sz="8" w:color="auto"/>
              <w:right w:val="single" w:sz="8" w:color="D2EEF5"/>
            </w:tcBorders>
            <w:shd w:val="clear" w:color="auto" w:fill="D2EEF5"/>
          </w:tcPr>
          <w:p>
            <w:pPr>
              <w:jc w:val="right"/>
              <w:spacing w:after="0" w:line="157" w:lineRule="exact"/>
              <w:rPr>
                <w:sz w:val="20"/>
                <w:szCs w:val="20"/>
                <w:color w:val="auto"/>
              </w:rPr>
            </w:pPr>
            <w:r>
              <w:rPr>
                <w:rFonts w:ascii="Arial" w:cs="Arial" w:eastAsia="Arial" w:hAnsi="Arial"/>
                <w:sz w:val="15"/>
                <w:szCs w:val="15"/>
                <w:color w:val="auto"/>
              </w:rPr>
              <w:t>8,980,207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4" w:orient="portrait"/>
          <w:cols w:equalWidth="0" w:num="1">
            <w:col w:w="10640"/>
          </w:cols>
          <w:pgMar w:left="620" w:top="1440" w:right="634" w:bottom="0" w:gutter="0" w:footer="0" w:header="0"/>
          <w:type w:val="continuous"/>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MARKER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1940" w:type="dxa"/>
            <w:vAlign w:val="bottom"/>
            <w:gridSpan w:val="5"/>
            <w:vMerge w:val="restart"/>
          </w:tcPr>
          <w:p>
            <w:pPr>
              <w:ind w:left="500"/>
              <w:spacing w:after="0"/>
              <w:rPr>
                <w:sz w:val="20"/>
                <w:szCs w:val="20"/>
                <w:color w:val="auto"/>
              </w:rPr>
            </w:pPr>
            <w:r>
              <w:rPr>
                <w:rFonts w:ascii="Arial" w:cs="Arial" w:eastAsia="Arial" w:hAnsi="Arial"/>
                <w:sz w:val="12"/>
                <w:szCs w:val="12"/>
                <w:b w:val="1"/>
                <w:bCs w:val="1"/>
                <w:color w:val="auto"/>
              </w:rPr>
              <w:t>Common Stock</w:t>
            </w:r>
          </w:p>
        </w:tc>
        <w:tc>
          <w:tcPr>
            <w:tcW w:w="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0"/>
        </w:trPr>
        <w:tc>
          <w:tcPr>
            <w:tcW w:w="504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5"/>
              </w:rPr>
              <w:t>Paid-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26"/>
        </w:trPr>
        <w:tc>
          <w:tcPr>
            <w:tcW w:w="5040" w:type="dxa"/>
            <w:vAlign w:val="bottom"/>
          </w:tcPr>
          <w:p>
            <w:pPr>
              <w:spacing w:after="0"/>
              <w:rPr>
                <w:sz w:val="10"/>
                <w:szCs w:val="10"/>
                <w:color w:val="auto"/>
              </w:rPr>
            </w:pPr>
          </w:p>
        </w:tc>
        <w:tc>
          <w:tcPr>
            <w:tcW w:w="1140" w:type="dxa"/>
            <w:vAlign w:val="bottom"/>
            <w:tcBorders>
              <w:top w:val="single" w:sz="8" w:color="auto"/>
            </w:tcBorders>
            <w:gridSpan w:val="2"/>
          </w:tcPr>
          <w:p>
            <w:pPr>
              <w:ind w:left="320"/>
              <w:spacing w:after="0" w:line="126" w:lineRule="exact"/>
              <w:rPr>
                <w:sz w:val="20"/>
                <w:szCs w:val="20"/>
                <w:color w:val="auto"/>
              </w:rPr>
            </w:pPr>
            <w:r>
              <w:rPr>
                <w:rFonts w:ascii="Arial" w:cs="Arial" w:eastAsia="Arial" w:hAnsi="Arial"/>
                <w:sz w:val="12"/>
                <w:szCs w:val="12"/>
                <w:b w:val="1"/>
                <w:bCs w:val="1"/>
                <w:color w:val="auto"/>
              </w:rPr>
              <w:t>Shares</w:t>
            </w: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6"/>
              <w:spacing w:after="0" w:line="126" w:lineRule="exact"/>
              <w:rPr>
                <w:sz w:val="20"/>
                <w:szCs w:val="20"/>
                <w:color w:val="auto"/>
              </w:rPr>
            </w:pPr>
            <w:r>
              <w:rPr>
                <w:rFonts w:ascii="Arial" w:cs="Arial" w:eastAsia="Arial" w:hAnsi="Arial"/>
                <w:sz w:val="12"/>
                <w:szCs w:val="12"/>
                <w:b w:val="1"/>
                <w:bCs w:val="1"/>
                <w:color w:val="auto"/>
                <w:w w:val="97"/>
              </w:rPr>
              <w:t>Par value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in Capital</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2"/>
          </w:tcPr>
          <w:p>
            <w:pPr>
              <w:jc w:val="right"/>
              <w:ind w:right="560"/>
              <w:spacing w:after="0" w:line="126" w:lineRule="exact"/>
              <w:rPr>
                <w:sz w:val="20"/>
                <w:szCs w:val="20"/>
                <w:color w:val="auto"/>
              </w:rPr>
            </w:pPr>
            <w:r>
              <w:rPr>
                <w:rFonts w:ascii="Arial" w:cs="Arial" w:eastAsia="Arial" w:hAnsi="Arial"/>
                <w:sz w:val="12"/>
                <w:szCs w:val="12"/>
                <w:b w:val="1"/>
                <w:bCs w:val="1"/>
                <w:color w:val="auto"/>
              </w:rPr>
              <w:t>Deficit</w:t>
            </w:r>
          </w:p>
        </w:tc>
        <w:tc>
          <w:tcPr>
            <w:tcW w:w="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4"/>
        </w:trPr>
        <w:tc>
          <w:tcPr>
            <w:tcW w:w="50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Balance at January 1, 2024</w:t>
            </w:r>
          </w:p>
        </w:tc>
        <w:tc>
          <w:tcPr>
            <w:tcW w:w="9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8,891,420</w:t>
            </w:r>
          </w:p>
        </w:tc>
        <w:tc>
          <w:tcPr>
            <w:tcW w:w="160" w:type="dxa"/>
            <w:vAlign w:val="bottom"/>
            <w:tcBorders>
              <w:top w:val="single" w:sz="8" w:color="D2EEF5"/>
            </w:tcBorders>
            <w:shd w:val="clear" w:color="auto" w:fill="D2EEF5"/>
          </w:tcPr>
          <w:p>
            <w:pPr>
              <w:spacing w:after="0"/>
              <w:rPr>
                <w:sz w:val="15"/>
                <w:szCs w:val="15"/>
                <w:color w:val="auto"/>
              </w:rPr>
            </w:pPr>
          </w:p>
        </w:tc>
        <w:tc>
          <w:tcPr>
            <w:tcW w:w="64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8,891</w:t>
            </w:r>
          </w:p>
        </w:tc>
        <w:tc>
          <w:tcPr>
            <w:tcW w:w="160" w:type="dxa"/>
            <w:vAlign w:val="bottom"/>
            <w:tcBorders>
              <w:top w:val="single" w:sz="8" w:color="D2EEF5"/>
            </w:tcBorders>
            <w:shd w:val="clear" w:color="auto" w:fill="D2EEF5"/>
          </w:tcPr>
          <w:p>
            <w:pPr>
              <w:spacing w:after="0"/>
              <w:rPr>
                <w:sz w:val="15"/>
                <w:szCs w:val="15"/>
                <w:color w:val="auto"/>
              </w:rPr>
            </w:pPr>
          </w:p>
        </w:tc>
        <w:tc>
          <w:tcPr>
            <w:tcW w:w="110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450,329,515</w:t>
            </w:r>
          </w:p>
        </w:tc>
        <w:tc>
          <w:tcPr>
            <w:tcW w:w="140" w:type="dxa"/>
            <w:vAlign w:val="bottom"/>
            <w:tcBorders>
              <w:top w:val="single" w:sz="8" w:color="D2EEF5"/>
            </w:tcBorders>
            <w:shd w:val="clear" w:color="auto" w:fill="D2EEF5"/>
          </w:tcPr>
          <w:p>
            <w:pPr>
              <w:spacing w:after="0"/>
              <w:rPr>
                <w:sz w:val="15"/>
                <w:szCs w:val="15"/>
                <w:color w:val="auto"/>
              </w:rPr>
            </w:pP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(436,285,863)</w:t>
            </w:r>
          </w:p>
        </w:tc>
        <w:tc>
          <w:tcPr>
            <w:tcW w:w="160" w:type="dxa"/>
            <w:vAlign w:val="bottom"/>
            <w:tcBorders>
              <w:top w:val="single" w:sz="8" w:color="D2EEF5"/>
            </w:tcBorders>
            <w:shd w:val="clear" w:color="auto" w:fill="D2EEF5"/>
          </w:tcPr>
          <w:p>
            <w:pPr>
              <w:spacing w:after="0"/>
              <w:rPr>
                <w:sz w:val="15"/>
                <w:szCs w:val="15"/>
                <w:color w:val="auto"/>
              </w:rPr>
            </w:pPr>
          </w:p>
        </w:tc>
        <w:tc>
          <w:tcPr>
            <w:tcW w:w="108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14,052,543</w:t>
            </w:r>
          </w:p>
        </w:tc>
        <w:tc>
          <w:tcPr>
            <w:tcW w:w="0" w:type="dxa"/>
            <w:vAlign w:val="bottom"/>
          </w:tcPr>
          <w:p>
            <w:pPr>
              <w:spacing w:after="0"/>
              <w:rPr>
                <w:sz w:val="1"/>
                <w:szCs w:val="1"/>
                <w:color w:val="auto"/>
              </w:rPr>
            </w:pPr>
          </w:p>
        </w:tc>
      </w:tr>
      <w:tr>
        <w:trPr>
          <w:trHeight w:val="183"/>
        </w:trPr>
        <w:tc>
          <w:tcPr>
            <w:tcW w:w="5040" w:type="dxa"/>
            <w:vAlign w:val="bottom"/>
          </w:tcPr>
          <w:p>
            <w:pPr>
              <w:ind w:left="100"/>
              <w:spacing w:after="0"/>
              <w:rPr>
                <w:sz w:val="20"/>
                <w:szCs w:val="20"/>
                <w:color w:val="auto"/>
              </w:rPr>
            </w:pPr>
            <w:r>
              <w:rPr>
                <w:rFonts w:ascii="Arial" w:cs="Arial" w:eastAsia="Arial" w:hAnsi="Arial"/>
                <w:sz w:val="15"/>
                <w:szCs w:val="15"/>
                <w:color w:val="auto"/>
              </w:rPr>
              <w:t>Shares purchased pursuant to ATM agreement</w:t>
            </w:r>
          </w:p>
        </w:tc>
        <w:tc>
          <w:tcPr>
            <w:tcW w:w="980" w:type="dxa"/>
            <w:vAlign w:val="bottom"/>
          </w:tcPr>
          <w:p>
            <w:pPr>
              <w:jc w:val="right"/>
              <w:spacing w:after="0"/>
              <w:rPr>
                <w:sz w:val="20"/>
                <w:szCs w:val="20"/>
                <w:color w:val="auto"/>
              </w:rPr>
            </w:pPr>
            <w:r>
              <w:rPr>
                <w:rFonts w:ascii="Arial" w:cs="Arial" w:eastAsia="Arial" w:hAnsi="Arial"/>
                <w:sz w:val="15"/>
                <w:szCs w:val="15"/>
                <w:color w:val="auto"/>
              </w:rPr>
              <w:t>8,178</w:t>
            </w:r>
          </w:p>
        </w:tc>
        <w:tc>
          <w:tcPr>
            <w:tcW w:w="1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1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36,894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36,902</w:t>
            </w:r>
          </w:p>
        </w:tc>
        <w:tc>
          <w:tcPr>
            <w:tcW w:w="0" w:type="dxa"/>
            <w:vAlign w:val="bottom"/>
          </w:tcPr>
          <w:p>
            <w:pPr>
              <w:spacing w:after="0"/>
              <w:rPr>
                <w:sz w:val="1"/>
                <w:szCs w:val="1"/>
                <w:color w:val="auto"/>
              </w:rPr>
            </w:pPr>
          </w:p>
        </w:tc>
      </w:tr>
      <w:tr>
        <w:trPr>
          <w:trHeight w:val="183"/>
        </w:trPr>
        <w:tc>
          <w:tcPr>
            <w:tcW w:w="5040" w:type="dxa"/>
            <w:vAlign w:val="bottom"/>
            <w:shd w:val="clear" w:color="auto" w:fill="D2EEF5"/>
          </w:tcPr>
          <w:p>
            <w:pPr>
              <w:ind w:left="100"/>
              <w:spacing w:after="0"/>
              <w:rPr>
                <w:sz w:val="20"/>
                <w:szCs w:val="20"/>
                <w:color w:val="auto"/>
              </w:rPr>
            </w:pPr>
            <w:r>
              <w:rPr>
                <w:rFonts w:ascii="Arial" w:cs="Arial" w:eastAsia="Arial" w:hAnsi="Arial"/>
                <w:sz w:val="15"/>
                <w:szCs w:val="15"/>
                <w:color w:val="auto"/>
              </w:rPr>
              <w:t>Issuance of common stock from exercise of stock options</w:t>
            </w:r>
          </w:p>
        </w:tc>
        <w:tc>
          <w:tcPr>
            <w:tcW w:w="9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25,602</w:t>
            </w:r>
          </w:p>
        </w:tc>
        <w:tc>
          <w:tcPr>
            <w:tcW w:w="160" w:type="dxa"/>
            <w:vAlign w:val="bottom"/>
            <w:shd w:val="clear" w:color="auto" w:fill="D2EEF5"/>
          </w:tcPr>
          <w:p>
            <w:pPr>
              <w:spacing w:after="0"/>
              <w:rPr>
                <w:sz w:val="15"/>
                <w:szCs w:val="15"/>
                <w:color w:val="auto"/>
              </w:rPr>
            </w:pPr>
          </w:p>
        </w:tc>
        <w:tc>
          <w:tcPr>
            <w:tcW w:w="64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25</w:t>
            </w:r>
          </w:p>
        </w:tc>
        <w:tc>
          <w:tcPr>
            <w:tcW w:w="160" w:type="dxa"/>
            <w:vAlign w:val="bottom"/>
            <w:shd w:val="clear" w:color="auto" w:fill="D2EEF5"/>
          </w:tcPr>
          <w:p>
            <w:pPr>
              <w:spacing w:after="0"/>
              <w:rPr>
                <w:sz w:val="15"/>
                <w:szCs w:val="15"/>
                <w:color w:val="auto"/>
              </w:rPr>
            </w:pPr>
          </w:p>
        </w:tc>
        <w:tc>
          <w:tcPr>
            <w:tcW w:w="110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62,134</w:t>
            </w:r>
          </w:p>
        </w:tc>
        <w:tc>
          <w:tcPr>
            <w:tcW w:w="14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3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62,159</w:t>
            </w:r>
          </w:p>
        </w:tc>
        <w:tc>
          <w:tcPr>
            <w:tcW w:w="0" w:type="dxa"/>
            <w:vAlign w:val="bottom"/>
          </w:tcPr>
          <w:p>
            <w:pPr>
              <w:spacing w:after="0"/>
              <w:rPr>
                <w:sz w:val="1"/>
                <w:szCs w:val="1"/>
                <w:color w:val="auto"/>
              </w:rPr>
            </w:pPr>
          </w:p>
        </w:tc>
      </w:tr>
      <w:tr>
        <w:trPr>
          <w:trHeight w:val="162"/>
        </w:trPr>
        <w:tc>
          <w:tcPr>
            <w:tcW w:w="5040" w:type="dxa"/>
            <w:vAlign w:val="bottom"/>
          </w:tcPr>
          <w:p>
            <w:pPr>
              <w:ind w:left="100"/>
              <w:spacing w:after="0" w:line="161" w:lineRule="exact"/>
              <w:rPr>
                <w:sz w:val="20"/>
                <w:szCs w:val="20"/>
                <w:color w:val="auto"/>
              </w:rPr>
            </w:pPr>
            <w:r>
              <w:rPr>
                <w:rFonts w:ascii="Arial" w:cs="Arial" w:eastAsia="Arial" w:hAnsi="Arial"/>
                <w:sz w:val="15"/>
                <w:szCs w:val="15"/>
                <w:color w:val="auto"/>
                <w:w w:val="96"/>
              </w:rPr>
              <w:t>Issuance of common stock, prefunded warrants and warrants for cash, net of</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40" w:type="dxa"/>
            <w:vAlign w:val="bottom"/>
          </w:tcPr>
          <w:p>
            <w:pPr>
              <w:ind w:left="200"/>
              <w:spacing w:after="0"/>
              <w:rPr>
                <w:sz w:val="20"/>
                <w:szCs w:val="20"/>
                <w:color w:val="auto"/>
              </w:rPr>
            </w:pPr>
            <w:r>
              <w:rPr>
                <w:rFonts w:ascii="Arial" w:cs="Arial" w:eastAsia="Arial" w:hAnsi="Arial"/>
                <w:sz w:val="15"/>
                <w:szCs w:val="15"/>
                <w:color w:val="auto"/>
              </w:rPr>
              <w:t>offering costs of $1.2 million</w:t>
            </w:r>
          </w:p>
        </w:tc>
        <w:tc>
          <w:tcPr>
            <w:tcW w:w="980" w:type="dxa"/>
            <w:vAlign w:val="bottom"/>
          </w:tcPr>
          <w:p>
            <w:pPr>
              <w:jc w:val="right"/>
              <w:spacing w:after="0"/>
              <w:rPr>
                <w:sz w:val="20"/>
                <w:szCs w:val="20"/>
                <w:color w:val="auto"/>
              </w:rPr>
            </w:pPr>
            <w:r>
              <w:rPr>
                <w:rFonts w:ascii="Arial" w:cs="Arial" w:eastAsia="Arial" w:hAnsi="Arial"/>
                <w:sz w:val="15"/>
                <w:szCs w:val="15"/>
                <w:color w:val="auto"/>
              </w:rPr>
              <w:t>1,783,805</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1,784</w:t>
            </w:r>
          </w:p>
        </w:tc>
        <w:tc>
          <w:tcPr>
            <w:tcW w:w="16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14,890,469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14,892,253</w:t>
            </w:r>
          </w:p>
        </w:tc>
        <w:tc>
          <w:tcPr>
            <w:tcW w:w="0" w:type="dxa"/>
            <w:vAlign w:val="bottom"/>
          </w:tcPr>
          <w:p>
            <w:pPr>
              <w:spacing w:after="0"/>
              <w:rPr>
                <w:sz w:val="1"/>
                <w:szCs w:val="1"/>
                <w:color w:val="auto"/>
              </w:rPr>
            </w:pPr>
          </w:p>
        </w:tc>
      </w:tr>
      <w:tr>
        <w:trPr>
          <w:trHeight w:val="183"/>
        </w:trPr>
        <w:tc>
          <w:tcPr>
            <w:tcW w:w="5040" w:type="dxa"/>
            <w:vAlign w:val="bottom"/>
            <w:shd w:val="clear" w:color="auto" w:fill="D2EEF5"/>
          </w:tcPr>
          <w:p>
            <w:pPr>
              <w:ind w:left="100"/>
              <w:spacing w:after="0"/>
              <w:rPr>
                <w:sz w:val="20"/>
                <w:szCs w:val="20"/>
                <w:color w:val="auto"/>
              </w:rPr>
            </w:pPr>
            <w:r>
              <w:rPr>
                <w:rFonts w:ascii="Arial" w:cs="Arial" w:eastAsia="Arial" w:hAnsi="Arial"/>
                <w:sz w:val="15"/>
                <w:szCs w:val="15"/>
                <w:color w:val="auto"/>
              </w:rPr>
              <w:t>Stock-based compensation</w:t>
            </w:r>
          </w:p>
        </w:tc>
        <w:tc>
          <w:tcPr>
            <w:tcW w:w="114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D2EEF5"/>
            </w:tcBorders>
            <w:shd w:val="clear" w:color="auto" w:fill="D2EEF5"/>
          </w:tcPr>
          <w:p>
            <w:pPr>
              <w:spacing w:after="0"/>
              <w:rPr>
                <w:sz w:val="15"/>
                <w:szCs w:val="15"/>
                <w:color w:val="auto"/>
              </w:rPr>
            </w:pPr>
          </w:p>
        </w:tc>
        <w:tc>
          <w:tcPr>
            <w:tcW w:w="78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D2EEF5"/>
            </w:tcBorders>
            <w:shd w:val="clear" w:color="auto" w:fill="D2EEF5"/>
          </w:tcPr>
          <w:p>
            <w:pPr>
              <w:spacing w:after="0"/>
              <w:rPr>
                <w:sz w:val="15"/>
                <w:szCs w:val="15"/>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245,864</w:t>
            </w:r>
          </w:p>
        </w:tc>
        <w:tc>
          <w:tcPr>
            <w:tcW w:w="140" w:type="dxa"/>
            <w:vAlign w:val="bottom"/>
            <w:shd w:val="clear" w:color="auto" w:fill="D2EEF5"/>
          </w:tcPr>
          <w:p>
            <w:pPr>
              <w:spacing w:after="0"/>
              <w:rPr>
                <w:sz w:val="15"/>
                <w:szCs w:val="15"/>
                <w:color w:val="auto"/>
              </w:rPr>
            </w:pPr>
          </w:p>
        </w:tc>
        <w:tc>
          <w:tcPr>
            <w:tcW w:w="20" w:type="dxa"/>
            <w:vAlign w:val="bottom"/>
            <w:tcBorders>
              <w:bottom w:val="single" w:sz="8" w:color="D2EEF5"/>
            </w:tcBorders>
            <w:shd w:val="clear" w:color="auto" w:fill="D2EEF5"/>
          </w:tcPr>
          <w:p>
            <w:pPr>
              <w:spacing w:after="0"/>
              <w:rPr>
                <w:sz w:val="15"/>
                <w:szCs w:val="15"/>
                <w:color w:val="auto"/>
              </w:rPr>
            </w:pPr>
          </w:p>
        </w:tc>
        <w:tc>
          <w:tcPr>
            <w:tcW w:w="13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D2EEF5"/>
            </w:tcBorders>
            <w:shd w:val="clear" w:color="auto" w:fill="D2EEF5"/>
          </w:tcPr>
          <w:p>
            <w:pPr>
              <w:spacing w:after="0"/>
              <w:rPr>
                <w:sz w:val="15"/>
                <w:szCs w:val="15"/>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245,864</w:t>
            </w:r>
          </w:p>
        </w:tc>
        <w:tc>
          <w:tcPr>
            <w:tcW w:w="0" w:type="dxa"/>
            <w:vAlign w:val="bottom"/>
          </w:tcPr>
          <w:p>
            <w:pPr>
              <w:spacing w:after="0"/>
              <w:rPr>
                <w:sz w:val="1"/>
                <w:szCs w:val="1"/>
                <w:color w:val="auto"/>
              </w:rPr>
            </w:pPr>
          </w:p>
        </w:tc>
      </w:tr>
      <w:tr>
        <w:trPr>
          <w:trHeight w:val="163"/>
        </w:trPr>
        <w:tc>
          <w:tcPr>
            <w:tcW w:w="5040" w:type="dxa"/>
            <w:vAlign w:val="bottom"/>
          </w:tcPr>
          <w:p>
            <w:pPr>
              <w:ind w:left="100"/>
              <w:spacing w:after="0" w:line="163" w:lineRule="exact"/>
              <w:rPr>
                <w:sz w:val="20"/>
                <w:szCs w:val="20"/>
                <w:color w:val="auto"/>
              </w:rPr>
            </w:pPr>
            <w:r>
              <w:rPr>
                <w:rFonts w:ascii="Arial" w:cs="Arial" w:eastAsia="Arial" w:hAnsi="Arial"/>
                <w:sz w:val="15"/>
                <w:szCs w:val="15"/>
                <w:color w:val="auto"/>
              </w:rPr>
              <w:t>Net loss</w:t>
            </w:r>
          </w:p>
        </w:tc>
        <w:tc>
          <w:tcPr>
            <w:tcW w:w="1140" w:type="dxa"/>
            <w:vAlign w:val="bottom"/>
            <w:gridSpan w:val="2"/>
          </w:tcPr>
          <w:p>
            <w:pPr>
              <w:jc w:val="right"/>
              <w:ind w:right="200"/>
              <w:spacing w:after="0" w:line="16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200"/>
              <w:spacing w:after="0" w:line="16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8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right"/>
              <w:ind w:right="160"/>
              <w:spacing w:after="0" w:line="163" w:lineRule="exact"/>
              <w:rPr>
                <w:sz w:val="20"/>
                <w:szCs w:val="20"/>
                <w:color w:val="auto"/>
              </w:rPr>
            </w:pPr>
            <w:r>
              <w:rPr>
                <w:rFonts w:ascii="Arial" w:cs="Arial" w:eastAsia="Arial" w:hAnsi="Arial"/>
                <w:sz w:val="15"/>
                <w:szCs w:val="15"/>
                <w:color w:val="auto"/>
              </w:rPr>
              <w:t>(10,731,315)</w:t>
            </w:r>
          </w:p>
        </w:tc>
        <w:tc>
          <w:tcPr>
            <w:tcW w:w="20" w:type="dxa"/>
            <w:vAlign w:val="bottom"/>
          </w:tcPr>
          <w:p>
            <w:pPr>
              <w:spacing w:after="0"/>
              <w:rPr>
                <w:sz w:val="14"/>
                <w:szCs w:val="14"/>
                <w:color w:val="auto"/>
              </w:rPr>
            </w:pPr>
          </w:p>
        </w:tc>
        <w:tc>
          <w:tcPr>
            <w:tcW w:w="1060" w:type="dxa"/>
            <w:vAlign w:val="bottom"/>
          </w:tcPr>
          <w:p>
            <w:pPr>
              <w:jc w:val="right"/>
              <w:spacing w:after="0" w:line="163" w:lineRule="exact"/>
              <w:rPr>
                <w:sz w:val="20"/>
                <w:szCs w:val="20"/>
                <w:color w:val="auto"/>
              </w:rPr>
            </w:pPr>
            <w:r>
              <w:rPr>
                <w:rFonts w:ascii="Arial" w:cs="Arial" w:eastAsia="Arial" w:hAnsi="Arial"/>
                <w:sz w:val="15"/>
                <w:szCs w:val="15"/>
                <w:color w:val="auto"/>
              </w:rPr>
              <w:t>(10,731,315)</w:t>
            </w:r>
          </w:p>
        </w:tc>
        <w:tc>
          <w:tcPr>
            <w:tcW w:w="0" w:type="dxa"/>
            <w:vAlign w:val="bottom"/>
          </w:tcPr>
          <w:p>
            <w:pPr>
              <w:spacing w:after="0"/>
              <w:rPr>
                <w:sz w:val="1"/>
                <w:szCs w:val="1"/>
                <w:color w:val="auto"/>
              </w:rPr>
            </w:pPr>
          </w:p>
        </w:tc>
      </w:tr>
      <w:tr>
        <w:trPr>
          <w:trHeight w:val="174"/>
        </w:trPr>
        <w:tc>
          <w:tcPr>
            <w:tcW w:w="504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b w:val="1"/>
                <w:bCs w:val="1"/>
                <w:color w:val="auto"/>
              </w:rPr>
              <w:t>Balance at December 31, 2024</w:t>
            </w:r>
          </w:p>
        </w:tc>
        <w:tc>
          <w:tcPr>
            <w:tcW w:w="9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rPr>
              <w:t>10,709,005</w:t>
            </w:r>
          </w:p>
        </w:tc>
        <w:tc>
          <w:tcPr>
            <w:tcW w:w="160" w:type="dxa"/>
            <w:vAlign w:val="bottom"/>
            <w:tcBorders>
              <w:top w:val="single" w:sz="8" w:color="D2EEF5"/>
            </w:tcBorders>
            <w:shd w:val="clear" w:color="auto" w:fill="D2EEF5"/>
          </w:tcPr>
          <w:p>
            <w:pPr>
              <w:spacing w:after="0"/>
              <w:rPr>
                <w:sz w:val="15"/>
                <w:szCs w:val="15"/>
                <w:color w:val="auto"/>
              </w:rPr>
            </w:pPr>
          </w:p>
        </w:tc>
        <w:tc>
          <w:tcPr>
            <w:tcW w:w="64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10,708</w:t>
            </w:r>
          </w:p>
        </w:tc>
        <w:tc>
          <w:tcPr>
            <w:tcW w:w="160" w:type="dxa"/>
            <w:vAlign w:val="bottom"/>
            <w:tcBorders>
              <w:top w:val="single" w:sz="8" w:color="D2EEF5"/>
            </w:tcBorders>
            <w:shd w:val="clear" w:color="auto" w:fill="D2EEF5"/>
          </w:tcPr>
          <w:p>
            <w:pPr>
              <w:spacing w:after="0"/>
              <w:rPr>
                <w:sz w:val="15"/>
                <w:szCs w:val="15"/>
                <w:color w:val="auto"/>
              </w:rPr>
            </w:pPr>
          </w:p>
        </w:tc>
        <w:tc>
          <w:tcPr>
            <w:tcW w:w="110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465,564,876</w:t>
            </w:r>
          </w:p>
        </w:tc>
        <w:tc>
          <w:tcPr>
            <w:tcW w:w="140" w:type="dxa"/>
            <w:vAlign w:val="bottom"/>
            <w:tcBorders>
              <w:top w:val="single" w:sz="8" w:color="D2EEF5"/>
            </w:tcBorders>
            <w:shd w:val="clear" w:color="auto" w:fill="D2EEF5"/>
          </w:tcPr>
          <w:p>
            <w:pPr>
              <w:spacing w:after="0"/>
              <w:rPr>
                <w:sz w:val="15"/>
                <w:szCs w:val="15"/>
                <w:color w:val="auto"/>
              </w:rPr>
            </w:pPr>
          </w:p>
        </w:tc>
        <w:tc>
          <w:tcPr>
            <w:tcW w:w="118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(447,017,178)</w:t>
            </w:r>
          </w:p>
        </w:tc>
        <w:tc>
          <w:tcPr>
            <w:tcW w:w="160" w:type="dxa"/>
            <w:vAlign w:val="bottom"/>
            <w:tcBorders>
              <w:top w:val="single" w:sz="8" w:color="D2EEF5"/>
            </w:tcBorders>
            <w:shd w:val="clear" w:color="auto" w:fill="D2EEF5"/>
          </w:tcPr>
          <w:p>
            <w:pPr>
              <w:spacing w:after="0"/>
              <w:rPr>
                <w:sz w:val="15"/>
                <w:szCs w:val="15"/>
                <w:color w:val="auto"/>
              </w:rPr>
            </w:pPr>
          </w:p>
        </w:tc>
        <w:tc>
          <w:tcPr>
            <w:tcW w:w="1080" w:type="dxa"/>
            <w:vAlign w:val="bottom"/>
            <w:tcBorders>
              <w:top w:val="single" w:sz="8" w:color="auto"/>
            </w:tcBorders>
            <w:gridSpan w:val="2"/>
            <w:shd w:val="clear" w:color="auto" w:fill="D2EEF5"/>
          </w:tcPr>
          <w:p>
            <w:pPr>
              <w:jc w:val="right"/>
              <w:spacing w:after="0"/>
              <w:rPr>
                <w:sz w:val="20"/>
                <w:szCs w:val="20"/>
                <w:color w:val="auto"/>
              </w:rPr>
            </w:pPr>
            <w:r>
              <w:rPr>
                <w:rFonts w:ascii="Arial" w:cs="Arial" w:eastAsia="Arial" w:hAnsi="Arial"/>
                <w:sz w:val="15"/>
                <w:szCs w:val="15"/>
                <w:b w:val="1"/>
                <w:bCs w:val="1"/>
                <w:color w:val="auto"/>
              </w:rPr>
              <w:t>18,558,406</w:t>
            </w:r>
          </w:p>
        </w:tc>
        <w:tc>
          <w:tcPr>
            <w:tcW w:w="0" w:type="dxa"/>
            <w:vAlign w:val="bottom"/>
          </w:tcPr>
          <w:p>
            <w:pPr>
              <w:spacing w:after="0"/>
              <w:rPr>
                <w:sz w:val="1"/>
                <w:szCs w:val="1"/>
                <w:color w:val="auto"/>
              </w:rPr>
            </w:pPr>
          </w:p>
        </w:tc>
      </w:tr>
      <w:tr>
        <w:trPr>
          <w:trHeight w:val="183"/>
        </w:trPr>
        <w:tc>
          <w:tcPr>
            <w:tcW w:w="5040" w:type="dxa"/>
            <w:vAlign w:val="bottom"/>
          </w:tcPr>
          <w:p>
            <w:pPr>
              <w:spacing w:after="0"/>
              <w:rPr>
                <w:sz w:val="20"/>
                <w:szCs w:val="20"/>
                <w:color w:val="auto"/>
              </w:rPr>
            </w:pPr>
            <w:r>
              <w:rPr>
                <w:rFonts w:ascii="Arial" w:cs="Arial" w:eastAsia="Arial" w:hAnsi="Arial"/>
                <w:sz w:val="15"/>
                <w:szCs w:val="15"/>
                <w:color w:val="auto"/>
              </w:rPr>
              <w:t>Shares purchased pursuant to ATM agreement</w:t>
            </w:r>
          </w:p>
        </w:tc>
        <w:tc>
          <w:tcPr>
            <w:tcW w:w="980" w:type="dxa"/>
            <w:vAlign w:val="bottom"/>
          </w:tcPr>
          <w:p>
            <w:pPr>
              <w:jc w:val="right"/>
              <w:spacing w:after="0"/>
              <w:rPr>
                <w:sz w:val="20"/>
                <w:szCs w:val="20"/>
                <w:color w:val="auto"/>
              </w:rPr>
            </w:pPr>
            <w:r>
              <w:rPr>
                <w:rFonts w:ascii="Arial" w:cs="Arial" w:eastAsia="Arial" w:hAnsi="Arial"/>
                <w:sz w:val="15"/>
                <w:szCs w:val="15"/>
                <w:color w:val="auto"/>
              </w:rPr>
              <w:t>5,358,292</w:t>
            </w:r>
          </w:p>
        </w:tc>
        <w:tc>
          <w:tcPr>
            <w:tcW w:w="1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5,359</w:t>
            </w:r>
          </w:p>
        </w:tc>
        <w:tc>
          <w:tcPr>
            <w:tcW w:w="1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9,858,524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9,863,883</w:t>
            </w:r>
          </w:p>
        </w:tc>
        <w:tc>
          <w:tcPr>
            <w:tcW w:w="0" w:type="dxa"/>
            <w:vAlign w:val="bottom"/>
          </w:tcPr>
          <w:p>
            <w:pPr>
              <w:spacing w:after="0"/>
              <w:rPr>
                <w:sz w:val="1"/>
                <w:szCs w:val="1"/>
                <w:color w:val="auto"/>
              </w:rPr>
            </w:pPr>
          </w:p>
        </w:tc>
      </w:tr>
      <w:tr>
        <w:trPr>
          <w:trHeight w:val="183"/>
        </w:trPr>
        <w:tc>
          <w:tcPr>
            <w:tcW w:w="5040" w:type="dxa"/>
            <w:vAlign w:val="bottom"/>
            <w:shd w:val="clear" w:color="auto" w:fill="D2EEF5"/>
          </w:tcPr>
          <w:p>
            <w:pPr>
              <w:spacing w:after="0"/>
              <w:rPr>
                <w:sz w:val="20"/>
                <w:szCs w:val="20"/>
                <w:color w:val="auto"/>
              </w:rPr>
            </w:pPr>
            <w:r>
              <w:rPr>
                <w:rFonts w:ascii="Arial" w:cs="Arial" w:eastAsia="Arial" w:hAnsi="Arial"/>
                <w:sz w:val="15"/>
                <w:szCs w:val="15"/>
                <w:color w:val="auto"/>
              </w:rPr>
              <w:t>Issuance of common stock from exercise of prefunded warrants</w:t>
            </w:r>
          </w:p>
        </w:tc>
        <w:tc>
          <w:tcPr>
            <w:tcW w:w="9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605,830</w:t>
            </w:r>
          </w:p>
        </w:tc>
        <w:tc>
          <w:tcPr>
            <w:tcW w:w="160" w:type="dxa"/>
            <w:vAlign w:val="bottom"/>
            <w:shd w:val="clear" w:color="auto" w:fill="D2EEF5"/>
          </w:tcPr>
          <w:p>
            <w:pPr>
              <w:spacing w:after="0"/>
              <w:rPr>
                <w:sz w:val="15"/>
                <w:szCs w:val="15"/>
                <w:color w:val="auto"/>
              </w:rPr>
            </w:pPr>
          </w:p>
        </w:tc>
        <w:tc>
          <w:tcPr>
            <w:tcW w:w="20" w:type="dxa"/>
            <w:vAlign w:val="bottom"/>
            <w:tcBorders>
              <w:bottom w:val="single" w:sz="8" w:color="D2EEF5"/>
            </w:tcBorders>
            <w:shd w:val="clear" w:color="auto" w:fill="D2EEF5"/>
          </w:tcPr>
          <w:p>
            <w:pPr>
              <w:spacing w:after="0"/>
              <w:rPr>
                <w:sz w:val="15"/>
                <w:szCs w:val="15"/>
                <w:color w:val="auto"/>
              </w:rPr>
            </w:pPr>
          </w:p>
        </w:tc>
        <w:tc>
          <w:tcPr>
            <w:tcW w:w="6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605</w:t>
            </w:r>
          </w:p>
        </w:tc>
        <w:tc>
          <w:tcPr>
            <w:tcW w:w="160" w:type="dxa"/>
            <w:vAlign w:val="bottom"/>
            <w:shd w:val="clear" w:color="auto" w:fill="D2EEF5"/>
          </w:tcPr>
          <w:p>
            <w:pPr>
              <w:spacing w:after="0"/>
              <w:rPr>
                <w:sz w:val="15"/>
                <w:szCs w:val="15"/>
                <w:color w:val="auto"/>
              </w:rPr>
            </w:pPr>
          </w:p>
        </w:tc>
        <w:tc>
          <w:tcPr>
            <w:tcW w:w="20" w:type="dxa"/>
            <w:vAlign w:val="bottom"/>
            <w:tcBorders>
              <w:bottom w:val="single" w:sz="8" w:color="D2EEF5"/>
            </w:tcBorders>
            <w:shd w:val="clear" w:color="auto" w:fill="D2EEF5"/>
          </w:tcPr>
          <w:p>
            <w:pPr>
              <w:spacing w:after="0"/>
              <w:rPr>
                <w:sz w:val="15"/>
                <w:szCs w:val="15"/>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2EEF5"/>
          </w:tcPr>
          <w:p>
            <w:pPr>
              <w:spacing w:after="0"/>
              <w:rPr>
                <w:sz w:val="15"/>
                <w:szCs w:val="15"/>
                <w:color w:val="auto"/>
              </w:rPr>
            </w:pPr>
          </w:p>
        </w:tc>
        <w:tc>
          <w:tcPr>
            <w:tcW w:w="20" w:type="dxa"/>
            <w:vAlign w:val="bottom"/>
            <w:tcBorders>
              <w:bottom w:val="single" w:sz="8" w:color="D2EEF5"/>
            </w:tcBorders>
            <w:shd w:val="clear" w:color="auto" w:fill="D2EEF5"/>
          </w:tcPr>
          <w:p>
            <w:pPr>
              <w:spacing w:after="0"/>
              <w:rPr>
                <w:sz w:val="15"/>
                <w:szCs w:val="15"/>
                <w:color w:val="auto"/>
              </w:rPr>
            </w:pPr>
          </w:p>
        </w:tc>
        <w:tc>
          <w:tcPr>
            <w:tcW w:w="132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D2EEF5"/>
            </w:tcBorders>
            <w:shd w:val="clear" w:color="auto" w:fill="D2EEF5"/>
          </w:tcPr>
          <w:p>
            <w:pPr>
              <w:spacing w:after="0"/>
              <w:rPr>
                <w:sz w:val="15"/>
                <w:szCs w:val="15"/>
                <w:color w:val="auto"/>
              </w:rPr>
            </w:pPr>
          </w:p>
        </w:tc>
        <w:tc>
          <w:tcPr>
            <w:tcW w:w="10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605</w:t>
            </w:r>
          </w:p>
        </w:tc>
        <w:tc>
          <w:tcPr>
            <w:tcW w:w="0" w:type="dxa"/>
            <w:vAlign w:val="bottom"/>
          </w:tcPr>
          <w:p>
            <w:pPr>
              <w:spacing w:after="0"/>
              <w:rPr>
                <w:sz w:val="1"/>
                <w:szCs w:val="1"/>
                <w:color w:val="auto"/>
              </w:rPr>
            </w:pPr>
          </w:p>
        </w:tc>
      </w:tr>
      <w:tr>
        <w:trPr>
          <w:trHeight w:val="163"/>
        </w:trPr>
        <w:tc>
          <w:tcPr>
            <w:tcW w:w="5040" w:type="dxa"/>
            <w:vAlign w:val="bottom"/>
          </w:tcPr>
          <w:p>
            <w:pPr>
              <w:spacing w:after="0" w:line="163" w:lineRule="exact"/>
              <w:rPr>
                <w:sz w:val="20"/>
                <w:szCs w:val="20"/>
                <w:color w:val="auto"/>
              </w:rPr>
            </w:pPr>
            <w:r>
              <w:rPr>
                <w:rFonts w:ascii="Arial" w:cs="Arial" w:eastAsia="Arial" w:hAnsi="Arial"/>
                <w:sz w:val="15"/>
                <w:szCs w:val="15"/>
                <w:color w:val="auto"/>
              </w:rPr>
              <w:t>Stock-based compensation</w:t>
            </w:r>
          </w:p>
        </w:tc>
        <w:tc>
          <w:tcPr>
            <w:tcW w:w="1140" w:type="dxa"/>
            <w:vAlign w:val="bottom"/>
            <w:gridSpan w:val="2"/>
          </w:tcPr>
          <w:p>
            <w:pPr>
              <w:jc w:val="right"/>
              <w:ind w:right="200"/>
              <w:spacing w:after="0" w:line="16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780" w:type="dxa"/>
            <w:vAlign w:val="bottom"/>
            <w:gridSpan w:val="2"/>
          </w:tcPr>
          <w:p>
            <w:pPr>
              <w:jc w:val="right"/>
              <w:ind w:right="200"/>
              <w:spacing w:after="0" w:line="16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80" w:type="dxa"/>
            <w:vAlign w:val="bottom"/>
          </w:tcPr>
          <w:p>
            <w:pPr>
              <w:jc w:val="right"/>
              <w:spacing w:after="0" w:line="163" w:lineRule="exact"/>
              <w:rPr>
                <w:sz w:val="20"/>
                <w:szCs w:val="20"/>
                <w:color w:val="auto"/>
              </w:rPr>
            </w:pPr>
            <w:r>
              <w:rPr>
                <w:rFonts w:ascii="Arial" w:cs="Arial" w:eastAsia="Arial" w:hAnsi="Arial"/>
                <w:sz w:val="15"/>
                <w:szCs w:val="15"/>
                <w:color w:val="auto"/>
              </w:rPr>
              <w:t>537,540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2"/>
          </w:tcPr>
          <w:p>
            <w:pPr>
              <w:jc w:val="right"/>
              <w:ind w:right="200"/>
              <w:spacing w:after="0" w:line="16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060" w:type="dxa"/>
            <w:vAlign w:val="bottom"/>
          </w:tcPr>
          <w:p>
            <w:pPr>
              <w:jc w:val="right"/>
              <w:spacing w:after="0" w:line="163" w:lineRule="exact"/>
              <w:rPr>
                <w:sz w:val="20"/>
                <w:szCs w:val="20"/>
                <w:color w:val="auto"/>
              </w:rPr>
            </w:pPr>
            <w:r>
              <w:rPr>
                <w:rFonts w:ascii="Arial" w:cs="Arial" w:eastAsia="Arial" w:hAnsi="Arial"/>
                <w:sz w:val="15"/>
                <w:szCs w:val="15"/>
                <w:color w:val="auto"/>
              </w:rPr>
              <w:t>537,540</w:t>
            </w:r>
          </w:p>
        </w:tc>
        <w:tc>
          <w:tcPr>
            <w:tcW w:w="0" w:type="dxa"/>
            <w:vAlign w:val="bottom"/>
          </w:tcPr>
          <w:p>
            <w:pPr>
              <w:spacing w:after="0"/>
              <w:rPr>
                <w:sz w:val="1"/>
                <w:szCs w:val="1"/>
                <w:color w:val="auto"/>
              </w:rPr>
            </w:pPr>
          </w:p>
        </w:tc>
      </w:tr>
      <w:tr>
        <w:trPr>
          <w:trHeight w:val="183"/>
        </w:trPr>
        <w:tc>
          <w:tcPr>
            <w:tcW w:w="5040" w:type="dxa"/>
            <w:vAlign w:val="bottom"/>
            <w:shd w:val="clear" w:color="auto" w:fill="D2EEF5"/>
          </w:tcPr>
          <w:p>
            <w:pPr>
              <w:spacing w:after="0"/>
              <w:rPr>
                <w:sz w:val="20"/>
                <w:szCs w:val="20"/>
                <w:color w:val="auto"/>
              </w:rPr>
            </w:pPr>
            <w:r>
              <w:rPr>
                <w:rFonts w:ascii="Arial" w:cs="Arial" w:eastAsia="Arial" w:hAnsi="Arial"/>
                <w:sz w:val="15"/>
                <w:szCs w:val="15"/>
                <w:color w:val="auto"/>
              </w:rPr>
              <w:t>Net loss</w:t>
            </w:r>
          </w:p>
        </w:tc>
        <w:tc>
          <w:tcPr>
            <w:tcW w:w="114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780" w:type="dxa"/>
            <w:vAlign w:val="bottom"/>
            <w:gridSpan w:val="2"/>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D2EEF5"/>
          </w:tcPr>
          <w:p>
            <w:pPr>
              <w:spacing w:after="0"/>
              <w:rPr>
                <w:sz w:val="15"/>
                <w:szCs w:val="15"/>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480" w:type="dxa"/>
            <w:vAlign w:val="bottom"/>
            <w:gridSpan w:val="4"/>
            <w:shd w:val="clear" w:color="auto" w:fill="D2EEF5"/>
          </w:tcPr>
          <w:p>
            <w:pPr>
              <w:jc w:val="right"/>
              <w:ind w:right="160"/>
              <w:spacing w:after="0"/>
              <w:rPr>
                <w:sz w:val="20"/>
                <w:szCs w:val="20"/>
                <w:color w:val="auto"/>
              </w:rPr>
            </w:pPr>
            <w:r>
              <w:rPr>
                <w:rFonts w:ascii="Arial" w:cs="Arial" w:eastAsia="Arial" w:hAnsi="Arial"/>
                <w:sz w:val="15"/>
                <w:szCs w:val="15"/>
                <w:color w:val="auto"/>
              </w:rPr>
              <w:t>(12,163,620)</w:t>
            </w:r>
          </w:p>
        </w:tc>
        <w:tc>
          <w:tcPr>
            <w:tcW w:w="108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(12,163,620)</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20"/>
                <w:szCs w:val="20"/>
                <w:color w:val="auto"/>
              </w:rPr>
            </w:pPr>
            <w:r>
              <w:rPr>
                <w:rFonts w:ascii="Arial" w:cs="Arial" w:eastAsia="Arial" w:hAnsi="Arial"/>
                <w:sz w:val="15"/>
                <w:szCs w:val="15"/>
                <w:b w:val="1"/>
                <w:bCs w:val="1"/>
                <w:color w:val="auto"/>
              </w:rPr>
              <w:t>Balance at December 31, 2025</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16,673,127</w:t>
            </w:r>
          </w:p>
        </w:tc>
        <w:tc>
          <w:tcPr>
            <w:tcW w:w="160" w:type="dxa"/>
            <w:vAlign w:val="bottom"/>
          </w:tcPr>
          <w:p>
            <w:pPr>
              <w:spacing w:after="0"/>
              <w:rPr>
                <w:sz w:val="15"/>
                <w:szCs w:val="15"/>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16,672</w:t>
            </w:r>
          </w:p>
        </w:tc>
        <w:tc>
          <w:tcPr>
            <w:tcW w:w="160" w:type="dxa"/>
            <w:vAlign w:val="bottom"/>
          </w:tcPr>
          <w:p>
            <w:pPr>
              <w:spacing w:after="0"/>
              <w:rPr>
                <w:sz w:val="15"/>
                <w:szCs w:val="15"/>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475,960,940</w:t>
            </w:r>
          </w:p>
        </w:tc>
        <w:tc>
          <w:tcPr>
            <w:tcW w:w="140" w:type="dxa"/>
            <w:vAlign w:val="bottom"/>
          </w:tcPr>
          <w:p>
            <w:pPr>
              <w:spacing w:after="0"/>
              <w:rPr>
                <w:sz w:val="15"/>
                <w:szCs w:val="15"/>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(459,180,798)</w:t>
            </w:r>
          </w:p>
        </w:tc>
        <w:tc>
          <w:tcPr>
            <w:tcW w:w="160" w:type="dxa"/>
            <w:vAlign w:val="bottom"/>
          </w:tcPr>
          <w:p>
            <w:pPr>
              <w:spacing w:after="0"/>
              <w:rPr>
                <w:sz w:val="15"/>
                <w:szCs w:val="15"/>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16,796,814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4" w:orient="portrait"/>
          <w:cols w:equalWidth="0" w:num="1">
            <w:col w:w="10640"/>
          </w:cols>
          <w:pgMar w:left="620" w:top="1440" w:right="634" w:bottom="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MARKER THERAPEUTICS,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1" w:lineRule="exact"/>
        <w:rPr>
          <w:sz w:val="20"/>
          <w:szCs w:val="20"/>
          <w:color w:val="auto"/>
        </w:rPr>
      </w:pPr>
    </w:p>
    <w:p>
      <w:pPr>
        <w:ind w:left="8720"/>
        <w:spacing w:after="0"/>
        <w:rPr>
          <w:sz w:val="20"/>
          <w:szCs w:val="20"/>
          <w:color w:val="auto"/>
        </w:rPr>
      </w:pPr>
      <w:r>
        <w:rPr>
          <w:rFonts w:ascii="Arial" w:cs="Arial" w:eastAsia="Arial" w:hAnsi="Arial"/>
          <w:sz w:val="12"/>
          <w:szCs w:val="12"/>
          <w:b w:val="1"/>
          <w:bCs w:val="1"/>
          <w:color w:val="auto"/>
        </w:rPr>
        <w:t>For the Years Ended</w:t>
      </w:r>
    </w:p>
    <w:p>
      <w:pPr>
        <w:ind w:left="888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1"/>
        </w:trPr>
        <w:tc>
          <w:tcPr>
            <w:tcW w:w="6060" w:type="dxa"/>
            <w:vAlign w:val="bottom"/>
            <w:tcBorders>
              <w:bottom w:val="single" w:sz="8" w:color="D2EEF5"/>
            </w:tcBorders>
          </w:tcPr>
          <w:p>
            <w:pPr>
              <w:spacing w:after="0"/>
              <w:rPr>
                <w:sz w:val="11"/>
                <w:szCs w:val="11"/>
                <w:color w:val="auto"/>
              </w:rPr>
            </w:pPr>
          </w:p>
        </w:tc>
        <w:tc>
          <w:tcPr>
            <w:tcW w:w="1800" w:type="dxa"/>
            <w:vAlign w:val="bottom"/>
            <w:tcBorders>
              <w:bottom w:val="single" w:sz="8" w:color="D2EEF5"/>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45"/>
              <w:spacing w:after="0" w:line="131"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bottom w:val="single" w:sz="8" w:color="D2EEF5"/>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45"/>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6060" w:type="dxa"/>
            <w:vAlign w:val="bottom"/>
            <w:shd w:val="clear" w:color="auto" w:fill="D2EEF5"/>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8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r>
      <w:tr>
        <w:trPr>
          <w:trHeight w:val="183"/>
        </w:trPr>
        <w:tc>
          <w:tcPr>
            <w:tcW w:w="6060" w:type="dxa"/>
            <w:vAlign w:val="bottom"/>
          </w:tcPr>
          <w:p>
            <w:pPr>
              <w:ind w:left="100"/>
              <w:spacing w:after="0"/>
              <w:rPr>
                <w:sz w:val="20"/>
                <w:szCs w:val="20"/>
                <w:color w:val="auto"/>
              </w:rPr>
            </w:pPr>
            <w:r>
              <w:rPr>
                <w:rFonts w:ascii="Arial" w:cs="Arial" w:eastAsia="Arial" w:hAnsi="Arial"/>
                <w:sz w:val="15"/>
                <w:szCs w:val="15"/>
                <w:color w:val="auto"/>
              </w:rPr>
              <w:t>Net loss</w:t>
            </w:r>
          </w:p>
        </w:tc>
        <w:tc>
          <w:tcPr>
            <w:tcW w:w="208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(12,163,620)</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(10,731,315)</w:t>
            </w:r>
          </w:p>
        </w:tc>
      </w:tr>
      <w:tr>
        <w:trPr>
          <w:trHeight w:val="183"/>
        </w:trPr>
        <w:tc>
          <w:tcPr>
            <w:tcW w:w="6060" w:type="dxa"/>
            <w:vAlign w:val="bottom"/>
            <w:shd w:val="clear" w:color="auto" w:fill="D2EEF5"/>
          </w:tcPr>
          <w:p>
            <w:pPr>
              <w:ind w:left="100"/>
              <w:spacing w:after="0"/>
              <w:rPr>
                <w:sz w:val="20"/>
                <w:szCs w:val="20"/>
                <w:color w:val="auto"/>
              </w:rPr>
            </w:pPr>
            <w:r>
              <w:rPr>
                <w:rFonts w:ascii="Arial" w:cs="Arial" w:eastAsia="Arial" w:hAnsi="Arial"/>
                <w:sz w:val="15"/>
                <w:szCs w:val="15"/>
                <w:b w:val="1"/>
                <w:bCs w:val="1"/>
                <w:color w:val="auto"/>
              </w:rPr>
              <w:t>Reconciliation of net loss to net cash used in operating activities:</w:t>
            </w:r>
          </w:p>
        </w:tc>
        <w:tc>
          <w:tcPr>
            <w:tcW w:w="18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r>
      <w:tr>
        <w:trPr>
          <w:trHeight w:val="183"/>
        </w:trPr>
        <w:tc>
          <w:tcPr>
            <w:tcW w:w="606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537,540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245,864</w:t>
            </w:r>
          </w:p>
        </w:tc>
      </w:tr>
      <w:tr>
        <w:trPr>
          <w:trHeight w:val="183"/>
        </w:trPr>
        <w:tc>
          <w:tcPr>
            <w:tcW w:w="6060" w:type="dxa"/>
            <w:vAlign w:val="bottom"/>
            <w:shd w:val="clear" w:color="auto" w:fill="D2EEF5"/>
          </w:tcPr>
          <w:p>
            <w:pPr>
              <w:ind w:left="200"/>
              <w:spacing w:after="0"/>
              <w:rPr>
                <w:sz w:val="20"/>
                <w:szCs w:val="20"/>
                <w:color w:val="auto"/>
              </w:rPr>
            </w:pPr>
            <w:r>
              <w:rPr>
                <w:rFonts w:ascii="Arial" w:cs="Arial" w:eastAsia="Arial" w:hAnsi="Arial"/>
                <w:sz w:val="15"/>
                <w:szCs w:val="15"/>
                <w:b w:val="1"/>
                <w:bCs w:val="1"/>
                <w:color w:val="auto"/>
              </w:rPr>
              <w:t>Changes in operating assets and liabilities:</w:t>
            </w:r>
          </w:p>
        </w:tc>
        <w:tc>
          <w:tcPr>
            <w:tcW w:w="18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spacing w:after="0"/>
              <w:rPr>
                <w:sz w:val="15"/>
                <w:szCs w:val="15"/>
                <w:color w:val="auto"/>
              </w:rPr>
            </w:pPr>
          </w:p>
        </w:tc>
      </w:tr>
      <w:tr>
        <w:trPr>
          <w:trHeight w:val="183"/>
        </w:trPr>
        <w:tc>
          <w:tcPr>
            <w:tcW w:w="6060" w:type="dxa"/>
            <w:vAlign w:val="bottom"/>
          </w:tcPr>
          <w:p>
            <w:pPr>
              <w:ind w:left="280"/>
              <w:spacing w:after="0"/>
              <w:rPr>
                <w:sz w:val="20"/>
                <w:szCs w:val="20"/>
                <w:color w:val="auto"/>
              </w:rPr>
            </w:pPr>
            <w:r>
              <w:rPr>
                <w:rFonts w:ascii="Arial" w:cs="Arial" w:eastAsia="Arial" w:hAnsi="Arial"/>
                <w:sz w:val="15"/>
                <w:szCs w:val="15"/>
                <w:color w:val="auto"/>
              </w:rPr>
              <w:t>Prepaid expenses and deposits</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(175,033)</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504,409</w:t>
            </w:r>
          </w:p>
        </w:tc>
      </w:tr>
      <w:tr>
        <w:trPr>
          <w:trHeight w:val="183"/>
        </w:trPr>
        <w:tc>
          <w:tcPr>
            <w:tcW w:w="6060" w:type="dxa"/>
            <w:vAlign w:val="bottom"/>
            <w:shd w:val="clear" w:color="auto" w:fill="D2EEF5"/>
          </w:tcPr>
          <w:p>
            <w:pPr>
              <w:ind w:left="280"/>
              <w:spacing w:after="0"/>
              <w:rPr>
                <w:sz w:val="20"/>
                <w:szCs w:val="20"/>
                <w:color w:val="auto"/>
              </w:rPr>
            </w:pPr>
            <w:r>
              <w:rPr>
                <w:rFonts w:ascii="Arial" w:cs="Arial" w:eastAsia="Arial" w:hAnsi="Arial"/>
                <w:sz w:val="15"/>
                <w:szCs w:val="15"/>
                <w:color w:val="auto"/>
              </w:rPr>
              <w:t>Other receivables</w:t>
            </w:r>
          </w:p>
        </w:tc>
        <w:tc>
          <w:tcPr>
            <w:tcW w:w="18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977,303</w:t>
            </w: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(1,318,888)</w:t>
            </w:r>
          </w:p>
        </w:tc>
      </w:tr>
      <w:tr>
        <w:trPr>
          <w:trHeight w:val="183"/>
        </w:trPr>
        <w:tc>
          <w:tcPr>
            <w:tcW w:w="6060" w:type="dxa"/>
            <w:vAlign w:val="bottom"/>
          </w:tcPr>
          <w:p>
            <w:pPr>
              <w:ind w:left="280"/>
              <w:spacing w:after="0"/>
              <w:rPr>
                <w:sz w:val="20"/>
                <w:szCs w:val="20"/>
                <w:color w:val="auto"/>
              </w:rPr>
            </w:pPr>
            <w:r>
              <w:rPr>
                <w:rFonts w:ascii="Arial" w:cs="Arial" w:eastAsia="Arial" w:hAnsi="Arial"/>
                <w:sz w:val="15"/>
                <w:szCs w:val="15"/>
                <w:color w:val="auto"/>
              </w:rPr>
              <w:t>Related party payable</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(1,710,500)</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380,845</w:t>
            </w:r>
          </w:p>
        </w:tc>
      </w:tr>
      <w:tr>
        <w:trPr>
          <w:trHeight w:val="183"/>
        </w:trPr>
        <w:tc>
          <w:tcPr>
            <w:tcW w:w="6060" w:type="dxa"/>
            <w:vAlign w:val="bottom"/>
            <w:shd w:val="clear" w:color="auto" w:fill="D2EEF5"/>
          </w:tcPr>
          <w:p>
            <w:pPr>
              <w:ind w:left="280"/>
              <w:spacing w:after="0"/>
              <w:rPr>
                <w:sz w:val="20"/>
                <w:szCs w:val="20"/>
                <w:color w:val="auto"/>
              </w:rPr>
            </w:pPr>
            <w:r>
              <w:rPr>
                <w:rFonts w:ascii="Arial" w:cs="Arial" w:eastAsia="Arial" w:hAnsi="Arial"/>
                <w:sz w:val="15"/>
                <w:szCs w:val="15"/>
                <w:color w:val="auto"/>
              </w:rPr>
              <w:t>Accounts payable and accrued expenses</w:t>
            </w:r>
          </w:p>
        </w:tc>
        <w:tc>
          <w:tcPr>
            <w:tcW w:w="18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220" w:type="dxa"/>
            <w:vAlign w:val="bottom"/>
            <w:gridSpan w:val="2"/>
            <w:shd w:val="clear" w:color="auto" w:fill="D2EEF5"/>
          </w:tcPr>
          <w:p>
            <w:pPr>
              <w:jc w:val="right"/>
              <w:ind w:right="220"/>
              <w:spacing w:after="0"/>
              <w:rPr>
                <w:sz w:val="20"/>
                <w:szCs w:val="20"/>
                <w:color w:val="auto"/>
              </w:rPr>
            </w:pPr>
            <w:r>
              <w:rPr>
                <w:rFonts w:ascii="Arial" w:cs="Arial" w:eastAsia="Arial" w:hAnsi="Arial"/>
                <w:sz w:val="15"/>
                <w:szCs w:val="15"/>
                <w:color w:val="auto"/>
              </w:rPr>
              <w:t>(454,570)</w:t>
            </w: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8,761</w:t>
            </w:r>
          </w:p>
        </w:tc>
      </w:tr>
      <w:tr>
        <w:trPr>
          <w:trHeight w:val="183"/>
        </w:trPr>
        <w:tc>
          <w:tcPr>
            <w:tcW w:w="6060" w:type="dxa"/>
            <w:vAlign w:val="bottom"/>
            <w:tcBorders>
              <w:bottom w:val="single" w:sz="8" w:color="D2EEF5"/>
            </w:tcBorders>
          </w:tcPr>
          <w:p>
            <w:pPr>
              <w:ind w:left="280"/>
              <w:spacing w:after="0"/>
              <w:rPr>
                <w:sz w:val="20"/>
                <w:szCs w:val="20"/>
                <w:color w:val="auto"/>
              </w:rPr>
            </w:pPr>
            <w:r>
              <w:rPr>
                <w:rFonts w:ascii="Arial" w:cs="Arial" w:eastAsia="Arial" w:hAnsi="Arial"/>
                <w:sz w:val="15"/>
                <w:szCs w:val="15"/>
                <w:color w:val="auto"/>
              </w:rPr>
              <w:t>Deferred revenue</w:t>
            </w:r>
          </w:p>
        </w:tc>
        <w:tc>
          <w:tcPr>
            <w:tcW w:w="1800" w:type="dxa"/>
            <w:vAlign w:val="bottom"/>
            <w:tcBorders>
              <w:bottom w:val="single" w:sz="8" w:color="D2EEF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974,799</w:t>
            </w:r>
          </w:p>
        </w:tc>
        <w:tc>
          <w:tcPr>
            <w:tcW w:w="220" w:type="dxa"/>
            <w:vAlign w:val="bottom"/>
            <w:tcBorders>
              <w:bottom w:val="single" w:sz="8" w:color="D2EEF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6060" w:type="dxa"/>
            <w:vAlign w:val="bottom"/>
            <w:shd w:val="clear" w:color="auto" w:fill="D2EEF5"/>
          </w:tcPr>
          <w:p>
            <w:pPr>
              <w:ind w:left="380"/>
              <w:spacing w:after="0"/>
              <w:rPr>
                <w:sz w:val="20"/>
                <w:szCs w:val="20"/>
                <w:color w:val="auto"/>
              </w:rPr>
            </w:pPr>
            <w:r>
              <w:rPr>
                <w:rFonts w:ascii="Arial" w:cs="Arial" w:eastAsia="Arial" w:hAnsi="Arial"/>
                <w:sz w:val="15"/>
                <w:szCs w:val="15"/>
                <w:color w:val="auto"/>
              </w:rPr>
              <w:t>Net cash used in operating activities</w:t>
            </w:r>
          </w:p>
        </w:tc>
        <w:tc>
          <w:tcPr>
            <w:tcW w:w="18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(12,014,081)</w:t>
            </w: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(10,910,324)</w:t>
            </w:r>
          </w:p>
        </w:tc>
      </w:tr>
      <w:tr>
        <w:trPr>
          <w:trHeight w:val="183"/>
        </w:trPr>
        <w:tc>
          <w:tcPr>
            <w:tcW w:w="606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6060" w:type="dxa"/>
            <w:vAlign w:val="bottom"/>
            <w:shd w:val="clear" w:color="auto" w:fill="D2EEF5"/>
          </w:tcPr>
          <w:p>
            <w:pPr>
              <w:ind w:left="200"/>
              <w:spacing w:after="0"/>
              <w:rPr>
                <w:sz w:val="20"/>
                <w:szCs w:val="20"/>
                <w:color w:val="auto"/>
              </w:rPr>
            </w:pPr>
            <w:r>
              <w:rPr>
                <w:rFonts w:ascii="Arial" w:cs="Arial" w:eastAsia="Arial" w:hAnsi="Arial"/>
                <w:sz w:val="15"/>
                <w:szCs w:val="15"/>
                <w:color w:val="auto"/>
              </w:rPr>
              <w:t>Proceeds from issuance of common stock, net</w:t>
            </w:r>
          </w:p>
        </w:tc>
        <w:tc>
          <w:tcPr>
            <w:tcW w:w="180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9,863,883</w:t>
            </w:r>
          </w:p>
        </w:tc>
        <w:tc>
          <w:tcPr>
            <w:tcW w:w="220" w:type="dxa"/>
            <w:vAlign w:val="bottom"/>
            <w:shd w:val="clear" w:color="auto" w:fill="D2EEF5"/>
          </w:tcPr>
          <w:p>
            <w:pPr>
              <w:spacing w:after="0"/>
              <w:rPr>
                <w:sz w:val="15"/>
                <w:szCs w:val="15"/>
                <w:color w:val="auto"/>
              </w:rPr>
            </w:pPr>
          </w:p>
        </w:tc>
        <w:tc>
          <w:tcPr>
            <w:tcW w:w="280" w:type="dxa"/>
            <w:vAlign w:val="bottom"/>
            <w:shd w:val="clear" w:color="auto" w:fill="D2EEF5"/>
          </w:tcPr>
          <w:p>
            <w:pPr>
              <w:spacing w:after="0"/>
              <w:rPr>
                <w:sz w:val="15"/>
                <w:szCs w:val="15"/>
                <w:color w:val="auto"/>
              </w:rPr>
            </w:pPr>
          </w:p>
        </w:tc>
        <w:tc>
          <w:tcPr>
            <w:tcW w:w="10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14,929,155</w:t>
            </w:r>
          </w:p>
        </w:tc>
      </w:tr>
      <w:tr>
        <w:trPr>
          <w:trHeight w:val="183"/>
        </w:trPr>
        <w:tc>
          <w:tcPr>
            <w:tcW w:w="6060" w:type="dxa"/>
            <w:vAlign w:val="bottom"/>
            <w:tcBorders>
              <w:bottom w:val="single" w:sz="8" w:color="D2EEF5"/>
            </w:tcBorders>
          </w:tcPr>
          <w:p>
            <w:pPr>
              <w:ind w:left="200"/>
              <w:spacing w:after="0"/>
              <w:rPr>
                <w:sz w:val="20"/>
                <w:szCs w:val="20"/>
                <w:color w:val="auto"/>
              </w:rPr>
            </w:pPr>
            <w:r>
              <w:rPr>
                <w:rFonts w:ascii="Arial" w:cs="Arial" w:eastAsia="Arial" w:hAnsi="Arial"/>
                <w:sz w:val="15"/>
                <w:szCs w:val="15"/>
                <w:color w:val="auto"/>
              </w:rPr>
              <w:t>Proceeds from exercise of warrants and stock options</w:t>
            </w:r>
          </w:p>
        </w:tc>
        <w:tc>
          <w:tcPr>
            <w:tcW w:w="1800" w:type="dxa"/>
            <w:vAlign w:val="bottom"/>
            <w:tcBorders>
              <w:bottom w:val="single" w:sz="8" w:color="D2EEF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w:t>
            </w:r>
          </w:p>
        </w:tc>
        <w:tc>
          <w:tcPr>
            <w:tcW w:w="220" w:type="dxa"/>
            <w:vAlign w:val="bottom"/>
            <w:tcBorders>
              <w:bottom w:val="single" w:sz="8" w:color="D2EEF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62,159</w:t>
            </w:r>
          </w:p>
        </w:tc>
      </w:tr>
      <w:tr>
        <w:trPr>
          <w:trHeight w:val="174"/>
        </w:trPr>
        <w:tc>
          <w:tcPr>
            <w:tcW w:w="6060" w:type="dxa"/>
            <w:vAlign w:val="bottom"/>
            <w:shd w:val="clear" w:color="auto" w:fill="D2EEF5"/>
          </w:tcPr>
          <w:p>
            <w:pPr>
              <w:ind w:left="280"/>
              <w:spacing w:after="0"/>
              <w:rPr>
                <w:sz w:val="20"/>
                <w:szCs w:val="20"/>
                <w:color w:val="auto"/>
              </w:rPr>
            </w:pPr>
            <w:r>
              <w:rPr>
                <w:rFonts w:ascii="Arial" w:cs="Arial" w:eastAsia="Arial" w:hAnsi="Arial"/>
                <w:sz w:val="15"/>
                <w:szCs w:val="15"/>
                <w:color w:val="auto"/>
              </w:rPr>
              <w:t>Net cash provided by financing activities</w:t>
            </w:r>
          </w:p>
        </w:tc>
        <w:tc>
          <w:tcPr>
            <w:tcW w:w="1800" w:type="dxa"/>
            <w:vAlign w:val="bottom"/>
            <w:shd w:val="clear" w:color="auto" w:fill="D2EEF5"/>
          </w:tcPr>
          <w:p>
            <w:pPr>
              <w:spacing w:after="0"/>
              <w:rPr>
                <w:sz w:val="15"/>
                <w:szCs w:val="15"/>
                <w:color w:val="auto"/>
              </w:rPr>
            </w:pPr>
          </w:p>
        </w:tc>
        <w:tc>
          <w:tcPr>
            <w:tcW w:w="280" w:type="dxa"/>
            <w:vAlign w:val="bottom"/>
            <w:tcBorders>
              <w:bottom w:val="single" w:sz="8" w:color="auto"/>
            </w:tcBorders>
            <w:shd w:val="clear" w:color="auto" w:fill="D2EEF5"/>
          </w:tcPr>
          <w:p>
            <w:pPr>
              <w:spacing w:after="0"/>
              <w:rPr>
                <w:sz w:val="15"/>
                <w:szCs w:val="15"/>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9,864,488</w:t>
            </w:r>
          </w:p>
        </w:tc>
        <w:tc>
          <w:tcPr>
            <w:tcW w:w="220" w:type="dxa"/>
            <w:vAlign w:val="bottom"/>
            <w:shd w:val="clear" w:color="auto" w:fill="D2EEF5"/>
          </w:tcPr>
          <w:p>
            <w:pPr>
              <w:spacing w:after="0"/>
              <w:rPr>
                <w:sz w:val="15"/>
                <w:szCs w:val="15"/>
                <w:color w:val="auto"/>
              </w:rPr>
            </w:pPr>
          </w:p>
        </w:tc>
        <w:tc>
          <w:tcPr>
            <w:tcW w:w="280" w:type="dxa"/>
            <w:vAlign w:val="bottom"/>
            <w:tcBorders>
              <w:bottom w:val="single" w:sz="8" w:color="auto"/>
            </w:tcBorders>
            <w:shd w:val="clear" w:color="auto" w:fill="D2EEF5"/>
          </w:tcPr>
          <w:p>
            <w:pPr>
              <w:spacing w:after="0"/>
              <w:rPr>
                <w:sz w:val="15"/>
                <w:szCs w:val="15"/>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14,991,314</w:t>
            </w:r>
          </w:p>
        </w:tc>
      </w:tr>
      <w:tr>
        <w:trPr>
          <w:trHeight w:val="174"/>
        </w:trPr>
        <w:tc>
          <w:tcPr>
            <w:tcW w:w="6060" w:type="dxa"/>
            <w:vAlign w:val="bottom"/>
          </w:tcPr>
          <w:p>
            <w:pPr>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(2,149,593)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4,080,990</w:t>
            </w:r>
          </w:p>
        </w:tc>
      </w:tr>
      <w:tr>
        <w:trPr>
          <w:trHeight w:val="183"/>
        </w:trPr>
        <w:tc>
          <w:tcPr>
            <w:tcW w:w="6060" w:type="dxa"/>
            <w:vAlign w:val="bottom"/>
            <w:shd w:val="clear" w:color="auto" w:fill="D2EEF5"/>
          </w:tcPr>
          <w:p>
            <w:pPr>
              <w:spacing w:after="0"/>
              <w:rPr>
                <w:sz w:val="20"/>
                <w:szCs w:val="20"/>
                <w:color w:val="auto"/>
              </w:rPr>
            </w:pPr>
            <w:r>
              <w:rPr>
                <w:rFonts w:ascii="Arial" w:cs="Arial" w:eastAsia="Arial" w:hAnsi="Arial"/>
                <w:sz w:val="15"/>
                <w:szCs w:val="15"/>
                <w:color w:val="auto"/>
              </w:rPr>
              <w:t>Cash, cash equivalents, and restricted cash at beginning of the year</w:t>
            </w:r>
          </w:p>
        </w:tc>
        <w:tc>
          <w:tcPr>
            <w:tcW w:w="1800" w:type="dxa"/>
            <w:vAlign w:val="bottom"/>
            <w:shd w:val="clear" w:color="auto" w:fill="D2EEF5"/>
          </w:tcPr>
          <w:p>
            <w:pPr>
              <w:spacing w:after="0"/>
              <w:rPr>
                <w:sz w:val="15"/>
                <w:szCs w:val="15"/>
                <w:color w:val="auto"/>
              </w:rPr>
            </w:pPr>
          </w:p>
        </w:tc>
        <w:tc>
          <w:tcPr>
            <w:tcW w:w="280" w:type="dxa"/>
            <w:vAlign w:val="bottom"/>
            <w:tcBorders>
              <w:bottom w:val="single" w:sz="8" w:color="auto"/>
            </w:tcBorders>
            <w:shd w:val="clear" w:color="auto" w:fill="D2EEF5"/>
          </w:tcPr>
          <w:p>
            <w:pPr>
              <w:spacing w:after="0"/>
              <w:rPr>
                <w:sz w:val="15"/>
                <w:szCs w:val="15"/>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19,192,440</w:t>
            </w:r>
          </w:p>
        </w:tc>
        <w:tc>
          <w:tcPr>
            <w:tcW w:w="220" w:type="dxa"/>
            <w:vAlign w:val="bottom"/>
            <w:shd w:val="clear" w:color="auto" w:fill="D2EEF5"/>
          </w:tcPr>
          <w:p>
            <w:pPr>
              <w:spacing w:after="0"/>
              <w:rPr>
                <w:sz w:val="15"/>
                <w:szCs w:val="15"/>
                <w:color w:val="auto"/>
              </w:rPr>
            </w:pPr>
          </w:p>
        </w:tc>
        <w:tc>
          <w:tcPr>
            <w:tcW w:w="280" w:type="dxa"/>
            <w:vAlign w:val="bottom"/>
            <w:tcBorders>
              <w:bottom w:val="single" w:sz="8" w:color="auto"/>
            </w:tcBorders>
            <w:shd w:val="clear" w:color="auto" w:fill="D2EEF5"/>
          </w:tcPr>
          <w:p>
            <w:pPr>
              <w:spacing w:after="0"/>
              <w:rPr>
                <w:sz w:val="15"/>
                <w:szCs w:val="15"/>
                <w:color w:val="auto"/>
              </w:rPr>
            </w:pPr>
          </w:p>
        </w:tc>
        <w:tc>
          <w:tcPr>
            <w:tcW w:w="10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15,111,450</w:t>
            </w:r>
          </w:p>
        </w:tc>
      </w:tr>
      <w:tr>
        <w:trPr>
          <w:trHeight w:val="174"/>
        </w:trPr>
        <w:tc>
          <w:tcPr>
            <w:tcW w:w="6060" w:type="dxa"/>
            <w:vAlign w:val="bottom"/>
          </w:tcPr>
          <w:p>
            <w:pPr>
              <w:spacing w:after="0"/>
              <w:rPr>
                <w:sz w:val="20"/>
                <w:szCs w:val="20"/>
                <w:color w:val="auto"/>
              </w:rPr>
            </w:pPr>
            <w:r>
              <w:rPr>
                <w:rFonts w:ascii="Arial" w:cs="Arial" w:eastAsia="Arial" w:hAnsi="Arial"/>
                <w:sz w:val="15"/>
                <w:szCs w:val="15"/>
                <w:b w:val="1"/>
                <w:bCs w:val="1"/>
                <w:color w:val="auto"/>
              </w:rPr>
              <w:t>Cash, cash equivalents, and restricted cash at end of the year</w:t>
            </w:r>
          </w:p>
        </w:tc>
        <w:tc>
          <w:tcPr>
            <w:tcW w:w="1800" w:type="dxa"/>
            <w:vAlign w:val="bottom"/>
          </w:tcPr>
          <w:p>
            <w:pPr>
              <w:spacing w:after="0"/>
              <w:rPr>
                <w:sz w:val="15"/>
                <w:szCs w:val="15"/>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17,042,847</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19,192,440</w:t>
            </w: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4" w:orient="portrait"/>
          <w:cols w:equalWidth="0" w:num="1">
            <w:col w:w="10640"/>
          </w:cols>
          <w:pgMar w:left="620" w:top="1440" w:right="634" w:bottom="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MARKER THERAPEUTICS,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FISCAL YEARS DECEMBER 31, 2025 AND 2024</w:t>
      </w:r>
    </w:p>
    <w:p>
      <w:pPr>
        <w:spacing w:after="0" w:line="194"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NOTE 1:</w:t>
        <w:tab/>
        <w:t>NATURE OF OPERATIONS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antigen recognizing (“MAR”)-T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w:t>
      </w:r>
    </w:p>
    <w:p>
      <w:pPr>
        <w:spacing w:after="0" w:line="14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Currently, the Baylor College of Medicine (“BCM”) supplies the Company with MT-601, the Company’s lead Multi-Antigen Recognizing (MAR)-T cell therapy in anticipation of the commencement of the Company’s larger pivotal trial for Lymphoma.</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June 16, 2025, the Company entered into a Statement of Work (the “SOW”) with Cellipont Bioservices (“Cellipont”), a leading cell therapy Contract Development and Manufacturing Organization (“CDMO”), for the manufacturing of MT-601. Pursuant to the SOW, Cellipont will provide technology transfer and cGMP manufacturing services to support the scale-up and production of MT-601 for the Company’s APOLLO study.</w:t>
      </w:r>
    </w:p>
    <w:p>
      <w:pPr>
        <w:spacing w:after="0" w:line="146"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NOTE 2:</w:t>
        <w:tab/>
        <w:t>FINANCIAL CONDITION, GOING CONCERN AND MANAGEMENT PLANS</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As of December 31, 2025, the Company had cash, cash equivalents, and restricted cash of approximately $17.0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debt financings and grants.</w:t>
      </w:r>
    </w:p>
    <w:p>
      <w:pPr>
        <w:spacing w:after="0" w:line="127" w:lineRule="exact"/>
        <w:rPr>
          <w:sz w:val="20"/>
          <w:szCs w:val="20"/>
          <w:color w:val="auto"/>
        </w:rPr>
      </w:pPr>
    </w:p>
    <w:p>
      <w:pPr>
        <w:jc w:val="both"/>
        <w:ind w:firstLine="1"/>
        <w:spacing w:after="0" w:line="247" w:lineRule="auto"/>
        <w:rPr>
          <w:sz w:val="20"/>
          <w:szCs w:val="20"/>
          <w:color w:val="auto"/>
        </w:rPr>
      </w:pPr>
      <w:r>
        <w:rPr>
          <w:rFonts w:ascii="Arial" w:cs="Arial" w:eastAsia="Arial" w:hAnsi="Arial"/>
          <w:sz w:val="15"/>
          <w:szCs w:val="15"/>
          <w:color w:val="auto"/>
        </w:rPr>
        <w:t>In August 2021, the Company entered into a Controlled Equity Offering</w:t>
      </w:r>
      <w:r>
        <w:rPr>
          <w:rFonts w:ascii="Arial" w:cs="Arial" w:eastAsia="Arial" w:hAnsi="Arial"/>
          <w:sz w:val="22"/>
          <w:szCs w:val="22"/>
          <w:color w:val="auto"/>
          <w:vertAlign w:val="superscript"/>
        </w:rPr>
        <w:t>SM</w:t>
      </w:r>
      <w:r>
        <w:rPr>
          <w:rFonts w:ascii="Arial" w:cs="Arial" w:eastAsia="Arial" w:hAnsi="Arial"/>
          <w:sz w:val="15"/>
          <w:szCs w:val="15"/>
          <w:color w:val="auto"/>
        </w:rPr>
        <w:t xml:space="preserve"> Sales Agreement (the “ATM Agreement”) with Cantor Fitzgerald &amp; Co. and RBC Capital Markets, LLC (the “Sales Agents”), pursuant to which the Company could offer and sell, from time to time at its sole discretion through the Sales Agents, shares of its common stock having an aggregate offering price of up to $75.0 million. Any shares of its common stock sold were issued pursuant to the Company’s shelf registration statement on Form S-3 (File No. 333-258687), which the SEC declared effective on August 19, 2021. However, our use of the shelf registration statement on Form S-3 was limited for so long as we were subject to General Instruction I.B.6 of Form S-3, which limited the amounts that we could sell under the registration statement and in accordance with the ATM agreement. The Sales Agents were entitled to compensation under the Sales Agreement at a commission rate equal to 3.0% of the gross sales price per share sold under the ATM Agreement, and we provided each of the Sales Agents with indemnification and contribution rights. During the year ended December 31, 2024, the Company sold 8,178 shares of its common stock under the ATM Agreement for proceeds of $0.04 million. On June 10, 2024, the Company provided notice of its termination of the ATM Agreement with Cantor Fitzgerald &amp; Co. and RBC Capital Markets, LLC. The Company is not subject to any termination penalties related to the termination of the ATM Agreement.</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November 2024, the Company entered into an At The Market Offering Agreement, or the Sales Agreement, with H.C. Wainwright &amp; Co. LLC, relating to the sale of shares of its common stock having an agreement offering price of up to $11,431,713 from time to time through H.C. Wainwright &amp; Co. LLC. Any shares of common stock sold will be issued pursuant to the Company’s shelf registration statement on Form S-3 (File No. 333-283512), which the SEC declared effective on December 6, 2024. However, the Company’s use of the shelf registration statement on Form S-3 will be limited for so long as it is subject to General Instruction I.B.6 of Form S-3, which limits the amounts that the Company may sell under the registration statement and in accordance with the ATM agreement. H.C. Wainwright &amp; Co. LLC will be entitled to compensation under the Sales Agreement at a commission rate equal to 3.0% of the gross sales price per share sold under the ATM Agreement, and the Company’ has provided H.C. Wainwright &amp; Co. LLC with indemnification and contribution rights. Between July 17 and 21, 2025, the Company sold 1,624,075 shares of common stock pursuant to the ATM</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ectPr>
          <w:pgSz w:w="11900" w:h="16834" w:orient="portrait"/>
          <w:cols w:equalWidth="0" w:num="1">
            <w:col w:w="10640"/>
          </w:cols>
          <w:pgMar w:left="620" w:top="1440" w:right="634" w:bottom="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Agreement for net proceeds of $4.5 million, after deducting agent commissions, at an average price of $2.87 per share. On August 26, 2025, the Company sold an additional 3,734,217 shares of common stock pursuant to the ATM Agreement with H.C. Wainwright &amp; Co., LLC for net proceeds of $5.4 million, after deducting agent commissions, at an average price of $1.48 per share.</w:t>
      </w:r>
    </w:p>
    <w:p>
      <w:pPr>
        <w:spacing w:after="0" w:line="137"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In August 2021, the Company received notice of a Product Development Research award totaling approximately $13.1 million from the CPRIT to support the Company’s clinical investigation of MT-401 (the “CPRIT AML Grant”). Through the date of this filing, the Company has received $11.8 million in funds from the CPRIT AML Grant.</w:t>
      </w:r>
    </w:p>
    <w:p>
      <w:pPr>
        <w:spacing w:after="0" w:line="97"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In September 2022, the Company received notice from the FDA that it had awarded the Company a $2.0 million grant from the FDA’s Orphan Products Grant program to support the clinical investigation of MT-401 for the treatment of post-transplant AML (the “FDA Grant”). Through the date of this filing, the Company has received $1.2 million in funds from the FDA Grant.</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May 2023, the Company announced that it had received a $2.0 million grant from the National Institutes of Health (“NIH”) Small Business Innovation Research (“SBIR”) program to support the development and investigation of MT-401 for the treatment of AML patients following standard-of-care therapy with hypomethylating agents (the “SBIR AML Grant”). Through the date of this filing, the Company has received $1.7 million in funds from the SBIR AML Grant.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above funding agencies have agreed to continue their financial support and to shift funds to the MT-401-OTS program.</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June 2024, the Company received notice of a $2.0 million grant over a 2-year period from the National Institutes of Health SBIR program to support control over tumor immune escape in pancreatic cancer using a dual T cell product strategy (the “Decoy Grant”). Through the date of this filing, the Company has received approximately $0.5 million in funds from the Decoy Grant.</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August 2024, the Company received notice of a $2.0 million grant from the NIH SBIR program to support the clinical investigation of MT-601 in patients with non-Hodgkin’s lymphoma (“NHL”) who have relapsed following anti-CD19 chimeric antigen receptor (CAR) T cell therapy (the “SBIR NHL Grant”). Through the date of this filing, the Company has received $1.3 million in funds from the SBIR NHL Grant.</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August 2024, the Company received another $2.0 million grant from the NIH SBIR program to support the advancement of MT-601 in patients with pancreatic cancer (the “PANACEA Grant”). Through the date of this filing, the Company has received approximately $0.4 million in funds from the PANACEA Grant.</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December 2024, the Company received notice of an additional $9.5 million grant from CPRIT to support the clinical investigation of MT-601 in patients with metastatic pancreatic cancer (the “CPRIT Pancreatic Grant”). Through the date of this filing, the Company has received $1.5 million in funds from this grant.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Refer to Note 5 and Note 9 for grant income receivable and grant income recorded for each grant, respectively, for the periods presented.</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On December 19, 2024, the Company entered into a Securities Purchase Agreement (the “Purchase Agreement”), pursuant to which the Company issued and sold in a private Placement the following securities: (i)1,783,805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The transaction closed on December 23, 2024, with net proceeds from the sale of securities in the Private Placement of approximately $14.9 million, which does not include any proceeds that may be received upon exercise of any warrants issued in the Private Placement. Both the Pre-Funded Warrants and the Private Placement Warrants were not exercisable until the Company obtained shareholder approval, which was received on March 21, 2025.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 Company expects to continue to incur substantial losses over the next several years during its development phase.</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Based on the Company’s lack of recurring revenues, anticipated uses of cash and historical recurring cash losses from operating activities, and cash, cash equivalents, and restricted cash as of December 31, 2025, and taking into consideration the net proceeds received in July and August of 2025 through the sale of Common Stock pursuant to its ATM Agreement with H.C. Wainwright &amp; Co.,</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ectPr>
          <w:pgSz w:w="11900" w:h="16834" w:orient="portrait"/>
          <w:cols w:equalWidth="0" w:num="1">
            <w:col w:w="10640"/>
          </w:cols>
          <w:pgMar w:left="620" w:top="1440" w:right="634" w:bottom="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LLC (see Note 7), the Company anticipates that it will be able to fund its operating expenses and capital expenditure requirements through the fourth quarter of 2026, assuming no additional grant funds are received, either from new grants or from existing awarded grants. These factors raise substantial doubt regarding the Company’s ability to continue as a going concern.</w:t>
      </w:r>
    </w:p>
    <w:p>
      <w:pPr>
        <w:spacing w:after="0" w:line="13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Management is considering raising additional capital through the issuance of securities and intends to apply for additional grant funds, which could enable the Company to fund its operating expenses and capital expenditure requirements beyond the fourth quarter of 2026,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 of which there can be no assurances.</w:t>
      </w:r>
    </w:p>
    <w:p>
      <w:pPr>
        <w:spacing w:after="0" w:line="146" w:lineRule="exact"/>
        <w:rPr>
          <w:sz w:val="20"/>
          <w:szCs w:val="20"/>
          <w:color w:val="auto"/>
        </w:rPr>
      </w:pPr>
    </w:p>
    <w:p>
      <w:pPr>
        <w:jc w:val="both"/>
        <w:ind w:firstLine="2"/>
        <w:spacing w:after="0" w:line="263" w:lineRule="auto"/>
        <w:rPr>
          <w:sz w:val="20"/>
          <w:szCs w:val="20"/>
          <w:color w:val="auto"/>
        </w:rPr>
      </w:pPr>
      <w:r>
        <w:rPr>
          <w:rFonts w:ascii="Arial" w:cs="Arial" w:eastAsia="Arial" w:hAnsi="Arial"/>
          <w:sz w:val="15"/>
          <w:szCs w:val="15"/>
          <w:color w:val="auto"/>
        </w:rPr>
        <w:t>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47" w:lineRule="exact"/>
        <w:rPr>
          <w:sz w:val="20"/>
          <w:szCs w:val="20"/>
          <w:color w:val="auto"/>
        </w:rPr>
      </w:pPr>
    </w:p>
    <w:p>
      <w:pPr>
        <w:ind w:left="580" w:hanging="276"/>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Initiates, continues, or accelerates clinical trials of its product candidates;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continues the research and development of its product candidates and seeks to discover additional product candidates;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seeks regulatory approvals for any product candidates that successfully complete clinical trials;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maintains and enforces intellectual property rights;</w:t>
      </w:r>
    </w:p>
    <w:p>
      <w:pPr>
        <w:spacing w:after="0" w:line="193" w:lineRule="exact"/>
        <w:rPr>
          <w:rFonts w:ascii="Arial" w:cs="Arial" w:eastAsia="Arial" w:hAnsi="Arial"/>
          <w:sz w:val="15"/>
          <w:szCs w:val="15"/>
          <w:color w:val="auto"/>
        </w:rPr>
      </w:pPr>
    </w:p>
    <w:p>
      <w:pPr>
        <w:ind w:left="580" w:hanging="275"/>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enters into contract manufacturing arrangements with contract manufacturing organizations for clinical manufacturing supply;</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establishes sales, marketing and distribution infrastructure and scale-up manufacturing capabilities to commercialize any product candidates that may receive regulatory approval;</w:t>
      </w:r>
    </w:p>
    <w:p>
      <w:pPr>
        <w:spacing w:after="0" w:line="119" w:lineRule="exact"/>
        <w:rPr>
          <w:rFonts w:ascii="Arial" w:cs="Arial" w:eastAsia="Arial" w:hAnsi="Arial"/>
          <w:sz w:val="15"/>
          <w:szCs w:val="15"/>
          <w:color w:val="auto"/>
        </w:rPr>
      </w:pPr>
    </w:p>
    <w:p>
      <w:pPr>
        <w:ind w:left="580" w:hanging="275"/>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evaluates strategic transactions the Company may undertake; and</w:t>
      </w:r>
    </w:p>
    <w:p>
      <w:pPr>
        <w:spacing w:after="0" w:line="193" w:lineRule="exact"/>
        <w:rPr>
          <w:rFonts w:ascii="Arial" w:cs="Arial" w:eastAsia="Arial" w:hAnsi="Arial"/>
          <w:sz w:val="15"/>
          <w:szCs w:val="15"/>
          <w:color w:val="auto"/>
        </w:rPr>
      </w:pPr>
    </w:p>
    <w:p>
      <w:pPr>
        <w:ind w:left="580" w:hanging="275"/>
        <w:spacing w:after="0" w:line="299" w:lineRule="auto"/>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19"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The Company’s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spacing w:after="0" w:line="118"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In addition to the foregoing, 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spacing w:after="0" w:line="116"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NOTE 3:</w:t>
        <w:tab/>
        <w:t>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92"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The accompanying consolidated financial statements have been prepared in conformity with accounting principles generally accepted in the United States of America and pursuant to the rules and regulations of the Securities Exchange Commission (“SEC”). Any reference</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ectPr>
          <w:pgSz w:w="11900" w:h="16834" w:orient="portrait"/>
          <w:cols w:equalWidth="0" w:num="1">
            <w:col w:w="10640"/>
          </w:cols>
          <w:pgMar w:left="620" w:top="1440" w:right="634" w:bottom="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Cash Equivalents, Restricted Cash, and Credit Risk</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Company considers highly liquid investments with a maturity of three months or less when purchased to be cash equivalents. Cash, cash equivalents, and restricted cash at December 31, 2025 consisted of cash and certificates of deposit in institutions in the United States. The Company maintains cash in accounts which are in excess of the Federal Deposit Insurance Corporation (“FDIC”) insured limits of $250,000. As of December 31, 2025, the Company had approximately $1.6 million in cash at financial institutions, including $1.0 million of restricted cash at financial institutions, and approximately $15.4 million in U.S. government agency securities, for aggregate cash, cash equivalents, and restricted cash of $17.0 million. As of December 31, 2024, the Company had approximately $1.1 million in cash at financial institutions and approximately $18.1 million in U.S. government agency securities, for aggregate cash and cash equivalents of $19.2 million.</w:t>
      </w:r>
    </w:p>
    <w:p>
      <w:pPr>
        <w:spacing w:after="0" w:line="134" w:lineRule="exact"/>
        <w:rPr>
          <w:sz w:val="20"/>
          <w:szCs w:val="20"/>
          <w:color w:val="auto"/>
        </w:rPr>
      </w:pPr>
    </w:p>
    <w:p>
      <w:pPr>
        <w:ind w:right="860"/>
        <w:spacing w:after="0" w:line="509" w:lineRule="auto"/>
        <w:rPr>
          <w:sz w:val="20"/>
          <w:szCs w:val="20"/>
          <w:color w:val="auto"/>
        </w:rPr>
      </w:pPr>
      <w:r>
        <w:rPr>
          <w:rFonts w:ascii="Arial" w:cs="Arial" w:eastAsia="Arial" w:hAnsi="Arial"/>
          <w:sz w:val="15"/>
          <w:szCs w:val="15"/>
          <w:color w:val="auto"/>
        </w:rPr>
        <w:t xml:space="preserve">In the event cash is received from grants in advance of incurring qualifying costs, it is recorded as restricted cash until it is earned and recorded to grant income. </w:t>
      </w:r>
      <w:r>
        <w:rPr>
          <w:rFonts w:ascii="Arial" w:cs="Arial" w:eastAsia="Arial" w:hAnsi="Arial"/>
          <w:sz w:val="15"/>
          <w:szCs w:val="15"/>
          <w:b w:val="1"/>
          <w:bCs w:val="1"/>
          <w:i w:val="1"/>
          <w:iCs w:val="1"/>
          <w:color w:val="auto"/>
        </w:rPr>
        <w:t>Modification of Stock Options</w:t>
      </w:r>
    </w:p>
    <w:p>
      <w:pPr>
        <w:jc w:val="both"/>
        <w:spacing w:after="0" w:line="276" w:lineRule="auto"/>
        <w:rPr>
          <w:sz w:val="20"/>
          <w:szCs w:val="20"/>
          <w:color w:val="auto"/>
        </w:rPr>
      </w:pPr>
      <w:r>
        <w:rPr>
          <w:rFonts w:ascii="Arial" w:cs="Arial" w:eastAsia="Arial" w:hAnsi="Arial"/>
          <w:sz w:val="15"/>
          <w:szCs w:val="15"/>
          <w:color w:val="auto"/>
        </w:rPr>
        <w:t>During the year ended December 31, 2025, the Company recorded incremental stock-based compensation expense of $0.3 million pertaining to the modification of stock options in connection with certain consultants. The modification provided for an acceleration of unvested options, resulting in $0.3 million in compensation expense that was immediately recognized, and is reflected in operating expenses.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Patents and Patent Application Costs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Although the Company believes that its patents and underlying technology have continuing value, the amount of future benefits to be derived from the patents is uncertain.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Patent costs are, therefore, expensed as incurred.</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ectPr>
          <w:pgSz w:w="11900" w:h="16834" w:orient="portrait"/>
          <w:cols w:equalWidth="0" w:num="1">
            <w:col w:w="10640"/>
          </w:cols>
          <w:pgMar w:left="620" w:top="1440" w:right="634" w:bottom="0"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spacing w:after="0" w:line="141" w:lineRule="exact"/>
        <w:rPr>
          <w:sz w:val="20"/>
          <w:szCs w:val="20"/>
          <w:color w:val="auto"/>
        </w:rPr>
      </w:pPr>
    </w:p>
    <w:p>
      <w:pPr>
        <w:jc w:val="both"/>
        <w:ind w:left="560"/>
        <w:spacing w:after="0" w:line="27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The expected life of stock options was estimated using the “simplified method,” as the Company has limited historical information to develop</w:t>
      </w:r>
      <w:r>
        <w:rPr>
          <w:rFonts w:ascii="Arial" w:cs="Arial" w:eastAsia="Arial" w:hAnsi="Arial"/>
          <w:sz w:val="15"/>
          <w:szCs w:val="15"/>
          <w:i w:val="1"/>
          <w:iCs w:val="1"/>
          <w:color w:val="auto"/>
        </w:rPr>
        <w:t xml:space="preserve"> </w:t>
      </w:r>
      <w:r>
        <w:rPr>
          <w:rFonts w:ascii="Arial" w:cs="Arial" w:eastAsia="Arial" w:hAnsi="Arial"/>
          <w:sz w:val="15"/>
          <w:szCs w:val="15"/>
          <w:color w:val="auto"/>
        </w:rPr>
        <w:t>reasonable expectations about future exercise patterns and post-vesting employment termination behavior for its stock options grants. The simplified method is based on the average of the vesting tranches and the contractual life of each grant.</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 xml:space="preserve">Expected Volatility </w:t>
      </w:r>
      <w:r>
        <w:rPr>
          <w:rFonts w:ascii="Arial" w:cs="Arial" w:eastAsia="Arial" w:hAnsi="Arial"/>
          <w:sz w:val="15"/>
          <w:szCs w:val="15"/>
          <w:color w:val="auto"/>
        </w:rPr>
        <w:t>— The Company computes stock price volatility over expected terms based on its historical common stock trading prices.</w:t>
      </w:r>
    </w:p>
    <w:p>
      <w:pPr>
        <w:spacing w:after="0" w:line="193" w:lineRule="exact"/>
        <w:rPr>
          <w:sz w:val="20"/>
          <w:szCs w:val="20"/>
          <w:color w:val="auto"/>
        </w:rPr>
      </w:pPr>
    </w:p>
    <w:p>
      <w:pPr>
        <w:jc w:val="both"/>
        <w:ind w:left="560"/>
        <w:spacing w:after="0" w:line="299" w:lineRule="auto"/>
        <w:rPr>
          <w:sz w:val="20"/>
          <w:szCs w:val="20"/>
          <w:color w:val="auto"/>
        </w:rPr>
      </w:pPr>
      <w:r>
        <w:rPr>
          <w:rFonts w:ascii="Arial" w:cs="Arial" w:eastAsia="Arial" w:hAnsi="Arial"/>
          <w:sz w:val="15"/>
          <w:szCs w:val="15"/>
          <w:i w:val="1"/>
          <w:iCs w:val="1"/>
          <w:color w:val="auto"/>
        </w:rPr>
        <w:t xml:space="preserve">Risk-Free Interest Rate </w:t>
      </w:r>
      <w:r>
        <w:rPr>
          <w:rFonts w:ascii="Arial" w:cs="Arial" w:eastAsia="Arial" w:hAnsi="Arial"/>
          <w:sz w:val="15"/>
          <w:szCs w:val="15"/>
          <w:color w:val="auto"/>
        </w:rPr>
        <w:t>— The Company bases the risk-free interest rate on the implied yield available on U.S. Treasury zero-coupon issues with an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remaining term.</w:t>
      </w:r>
    </w:p>
    <w:p>
      <w:pPr>
        <w:spacing w:after="0" w:line="119" w:lineRule="exact"/>
        <w:rPr>
          <w:sz w:val="20"/>
          <w:szCs w:val="20"/>
          <w:color w:val="auto"/>
        </w:rPr>
      </w:pPr>
    </w:p>
    <w:p>
      <w:pPr>
        <w:jc w:val="both"/>
        <w:ind w:left="560"/>
        <w:spacing w:after="0" w:line="299" w:lineRule="auto"/>
        <w:rPr>
          <w:sz w:val="20"/>
          <w:szCs w:val="20"/>
          <w:color w:val="auto"/>
        </w:rPr>
      </w:pPr>
      <w:r>
        <w:rPr>
          <w:rFonts w:ascii="Arial" w:cs="Arial" w:eastAsia="Arial" w:hAnsi="Arial"/>
          <w:sz w:val="15"/>
          <w:szCs w:val="15"/>
          <w:i w:val="1"/>
          <w:iCs w:val="1"/>
          <w:color w:val="auto"/>
        </w:rPr>
        <w:t xml:space="preserve">Expected Dividend </w:t>
      </w:r>
      <w:r>
        <w:rPr>
          <w:rFonts w:ascii="Arial" w:cs="Arial" w:eastAsia="Arial" w:hAnsi="Arial"/>
          <w:sz w:val="15"/>
          <w:szCs w:val="15"/>
          <w:color w:val="auto"/>
        </w:rPr>
        <w:t>— The Company has never declared or paid any cash dividends on its common shares and does not plan to pay cash dividends in the foreseeable</w:t>
      </w:r>
      <w:r>
        <w:rPr>
          <w:rFonts w:ascii="Arial" w:cs="Arial" w:eastAsia="Arial" w:hAnsi="Arial"/>
          <w:sz w:val="15"/>
          <w:szCs w:val="15"/>
          <w:i w:val="1"/>
          <w:iCs w:val="1"/>
          <w:color w:val="auto"/>
        </w:rPr>
        <w:t xml:space="preserve"> </w:t>
      </w:r>
      <w:r>
        <w:rPr>
          <w:rFonts w:ascii="Arial" w:cs="Arial" w:eastAsia="Arial" w:hAnsi="Arial"/>
          <w:sz w:val="15"/>
          <w:szCs w:val="15"/>
          <w:color w:val="auto"/>
        </w:rPr>
        <w:t>future, and, therefore, uses an expected dividend yield of zero in its valuation models.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Costs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Research and development expenses consist of costs associated with clinical trial programs.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2025 and 2024,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2025 and 2024.</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ectPr>
          <w:pgSz w:w="11900" w:h="16834" w:orient="portrait"/>
          <w:cols w:equalWidth="0" w:num="1">
            <w:col w:w="10640"/>
          </w:cols>
          <w:pgMar w:left="620" w:top="1440" w:right="634"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Grant Income</w:t>
      </w:r>
    </w:p>
    <w:p>
      <w:pPr>
        <w:spacing w:after="0" w:line="192" w:lineRule="exact"/>
        <w:rPr>
          <w:sz w:val="20"/>
          <w:szCs w:val="20"/>
          <w:color w:val="auto"/>
        </w:rPr>
      </w:pPr>
    </w:p>
    <w:p>
      <w:pPr>
        <w:jc w:val="both"/>
        <w:ind w:firstLine="1"/>
        <w:spacing w:after="0" w:line="260" w:lineRule="auto"/>
        <w:rPr>
          <w:sz w:val="20"/>
          <w:szCs w:val="20"/>
          <w:color w:val="auto"/>
        </w:rPr>
      </w:pPr>
      <w:r>
        <w:rPr>
          <w:rFonts w:ascii="Arial" w:cs="Arial" w:eastAsia="Arial" w:hAnsi="Arial"/>
          <w:sz w:val="15"/>
          <w:szCs w:val="15"/>
          <w:color w:val="auto"/>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the Company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For grant and awards outside the scope of ASC 808, the Company applies either ASC 606 or IAS 20 by analogy depending on if the arrangement is considered an exchange or non-exchange transaction, respectively. Under both accounting frameworks, revenue is recognized when the Company incurs expenses related to the grants for the amount the Company is entitled to under the provisions of the contract. During the two years ended December 31, 2025, the Company did not participate in any collaboration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Loss per Common Share</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Segment Reporting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and commercialization of novel T cell-based immunotherapies for the treatment of hematological malignancies and solid tumor indications. The Company’s operations are organized and reported as a single reportable segment, which includes all activities related to the discovery, development, and commercialization of its products. The Company’s CODM, its chief executive officer, reviews operating results on an aggregate basis and manages the operations as a single operating segment.</w:t>
      </w:r>
    </w:p>
    <w:p>
      <w:pPr>
        <w:spacing w:after="0" w:line="147"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The accounting policies of the Company’s single operating and reportable segment are the same as those described in the summary of significant accounting policies. The measure of segment assets is reported on the consolidated balance sheets as total assets. The CODM evaluates performance and allocates resources based on consolidated net income (loss) that also is reported on the consolidated statements of operations as net loss, and consolidated cash used in operations. The CODM makes operating decisions based on the availability of cash and the allocation of cash to the required expenditures. The significant expenses regularly reviewed by the CODM are consistent with those reported on the Company’s consolidated statements of operations, and expenses are not regularly reviewed on a more disaggregated basis for purposes of assessing segment performance and deciding how to allocate resources.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Accounting Standards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ectPr>
          <w:pgSz w:w="11900" w:h="16834" w:orient="portrait"/>
          <w:cols w:equalWidth="0" w:num="1">
            <w:col w:w="10640"/>
          </w:cols>
          <w:pgMar w:left="620" w:top="1440" w:right="634" w:bottom="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Adopted Accounting Standards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Improvements to Income Tax Disclosures</w:t>
      </w:r>
    </w:p>
    <w:p>
      <w:pPr>
        <w:spacing w:after="0" w:line="191"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Effective January 1, 2025, the Company adopted the new standard and applied it retrospectively to prior periods presented. The Company does not believe the new disclosure requirements had a material impact to its financial positions,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 Not Yet Adopted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Government Grants (Topic 832): Accounting for Government Grants Received by Business Entities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December 2025, the FASB issued ASU 2025-10, Government Grants (Topic 832): Accounting for Government Grants Received by Business Entities. The new standard is intended to establish authoritative guidance on the accounting for government grants received by business entities and reduce diversity in practice. The amendments establish the timing and methods of recognition of both (1) a grant related to an asset and (2) a grant related to income. The amendments also require certain disclosures including the nature of the grant received, the accounting policies used to account for the grant, and significant terms and conditions for the grant. The new guidance is effective for annual reporting periods beginning after December 15, 2028, and interim reporting periods within those annual reporting periods. Early adoption is permitted. The new guidance may be applied on a modified prospective basis, modified retrospective basis, or full retrospective basis. The Company is currently evaluating the impact of ASU 2025-10 on its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Statement – Reporting Comprehensive Income – Expense Disaggregation Disclosures</w:t>
      </w:r>
    </w:p>
    <w:p>
      <w:pPr>
        <w:spacing w:after="0" w:line="191"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Tax Law Changes</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July 4, 2025, the One Big Beautiful Bill Act (OBBBA) was enacted, introducing significant changes to U.S. tax law, including provisions related to bonus depreciation, interest expense limitations, and the treatment of domestic research and development expenditures.</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evaluated the legislation in accordance with ASC 740 and determined that the enactment did not have a material impact on its financial statements for the year ended December 31, 2025.</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ectPr>
          <w:pgSz w:w="11900" w:h="16834" w:orient="portrait"/>
          <w:cols w:equalWidth="0" w:num="1">
            <w:col w:w="10640"/>
          </w:cols>
          <w:pgMar w:left="620" w:top="1440" w:right="634" w:bottom="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NOTE 4:</w:t>
        <w:tab/>
        <w:t>NET LOSS PER SHARE APPLICABLE TO COMMON SHAREHOLDERS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net loss per share for the years ended December 31, 2025 and 2024, respectively:</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Numerator: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680085</wp:posOffset>
                </wp:positionH>
                <wp:positionV relativeFrom="paragraph">
                  <wp:posOffset>-101600</wp:posOffset>
                </wp:positionV>
                <wp:extent cx="4719955" cy="12319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19955" cy="123190"/>
                        </a:xfrm>
                        <a:prstGeom prst="rect">
                          <a:avLst/>
                        </a:prstGeom>
                        <a:solidFill>
                          <a:srgbClr val="D2EEF5"/>
                        </a:solidFill>
                      </wps:spPr>
                      <wps:bodyPr/>
                    </wps:wsp>
                  </a:graphicData>
                </a:graphic>
              </wp:anchor>
            </w:drawing>
          </mc:Choice>
          <mc:Fallback>
            <w:pict>
              <v:rect id="Shape 20" o:spid="_x0000_s1045" style="position:absolute;margin-left:53.55pt;margin-top:-8pt;width:371.65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Net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680085</wp:posOffset>
                </wp:positionH>
                <wp:positionV relativeFrom="paragraph">
                  <wp:posOffset>19685</wp:posOffset>
                </wp:positionV>
                <wp:extent cx="4719955" cy="13081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19955" cy="130810"/>
                        </a:xfrm>
                        <a:prstGeom prst="rect">
                          <a:avLst/>
                        </a:prstGeom>
                        <a:solidFill>
                          <a:srgbClr val="D2EEF5"/>
                        </a:solidFill>
                      </wps:spPr>
                      <wps:bodyPr/>
                    </wps:wsp>
                  </a:graphicData>
                </a:graphic>
              </wp:anchor>
            </w:drawing>
          </mc:Choice>
          <mc:Fallback>
            <w:pict>
              <v:rect id="Shape 21" o:spid="_x0000_s1046" style="position:absolute;margin-left:53.55pt;margin-top:1.55pt;width:371.6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Denominator:</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Weighted average common shares outstanding, basic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680085</wp:posOffset>
                </wp:positionH>
                <wp:positionV relativeFrom="paragraph">
                  <wp:posOffset>-88265</wp:posOffset>
                </wp:positionV>
                <wp:extent cx="4719955" cy="12255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19955" cy="122555"/>
                        </a:xfrm>
                        <a:prstGeom prst="rect">
                          <a:avLst/>
                        </a:prstGeom>
                        <a:solidFill>
                          <a:srgbClr val="D2EEF5"/>
                        </a:solidFill>
                      </wps:spPr>
                      <wps:bodyPr/>
                    </wps:wsp>
                  </a:graphicData>
                </a:graphic>
              </wp:anchor>
            </w:drawing>
          </mc:Choice>
          <mc:Fallback>
            <w:pict>
              <v:rect id="Shape 22" o:spid="_x0000_s1047" style="position:absolute;margin-left:53.55pt;margin-top:-6.9499pt;width:371.6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Weighted average common shares outstanding, diluted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680085</wp:posOffset>
                </wp:positionH>
                <wp:positionV relativeFrom="paragraph">
                  <wp:posOffset>34290</wp:posOffset>
                </wp:positionV>
                <wp:extent cx="4719955" cy="13081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19955" cy="130810"/>
                        </a:xfrm>
                        <a:prstGeom prst="rect">
                          <a:avLst/>
                        </a:prstGeom>
                        <a:solidFill>
                          <a:srgbClr val="D2EEF5"/>
                        </a:solidFill>
                      </wps:spPr>
                      <wps:bodyPr/>
                    </wps:wsp>
                  </a:graphicData>
                </a:graphic>
              </wp:anchor>
            </w:drawing>
          </mc:Choice>
          <mc:Fallback>
            <w:pict>
              <v:rect id="Shape 23" o:spid="_x0000_s1048" style="position:absolute;margin-left:53.55pt;margin-top:2.7pt;width:371.6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17"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Net earnings (loss) per share:</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Net loss per share, basic and diluted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680085</wp:posOffset>
                </wp:positionH>
                <wp:positionV relativeFrom="paragraph">
                  <wp:posOffset>-102870</wp:posOffset>
                </wp:positionV>
                <wp:extent cx="4719955" cy="12255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19955" cy="122555"/>
                        </a:xfrm>
                        <a:prstGeom prst="rect">
                          <a:avLst/>
                        </a:prstGeom>
                        <a:solidFill>
                          <a:srgbClr val="D2EEF5"/>
                        </a:solidFill>
                      </wps:spPr>
                      <wps:bodyPr/>
                    </wps:wsp>
                  </a:graphicData>
                </a:graphic>
              </wp:anchor>
            </w:drawing>
          </mc:Choice>
          <mc:Fallback>
            <w:pict>
              <v:rect id="Shape 24" o:spid="_x0000_s1049" style="position:absolute;margin-left:53.55pt;margin-top:-8.0999pt;width:371.6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For the Years Ended</w:t>
      </w:r>
    </w:p>
    <w:p>
      <w:pPr>
        <w:ind w:left="880"/>
        <w:spacing w:after="0"/>
        <w:rPr>
          <w:sz w:val="20"/>
          <w:szCs w:val="20"/>
          <w:color w:val="auto"/>
        </w:rPr>
      </w:pPr>
      <w:r>
        <w:rPr>
          <w:rFonts w:ascii="Arial" w:cs="Arial" w:eastAsia="Arial" w:hAnsi="Arial"/>
          <w:sz w:val="12"/>
          <w:szCs w:val="12"/>
          <w:b w:val="1"/>
          <w:bCs w:val="1"/>
          <w:color w:val="auto"/>
        </w:rPr>
        <w:t>December 31,</w:t>
      </w:r>
    </w:p>
    <w:p>
      <w:pPr>
        <w:ind w:left="460"/>
        <w:spacing w:after="0"/>
        <w:tabs>
          <w:tab w:leader="none" w:pos="1760" w:val="left"/>
        </w:tabs>
        <w:rPr>
          <w:sz w:val="20"/>
          <w:szCs w:val="20"/>
          <w:color w:val="auto"/>
        </w:rPr>
      </w:pPr>
      <w:r>
        <w:rPr>
          <w:rFonts w:ascii="Arial" w:cs="Arial" w:eastAsia="Arial" w:hAnsi="Arial"/>
          <w:sz w:val="12"/>
          <w:szCs w:val="12"/>
          <w:b w:val="1"/>
          <w:bCs w:val="1"/>
          <w:color w:val="auto"/>
        </w:rPr>
        <w:t>2025</w:t>
      </w:r>
      <w:r>
        <w:rPr>
          <w:sz w:val="20"/>
          <w:szCs w:val="20"/>
          <w:color w:val="auto"/>
        </w:rPr>
        <w:tab/>
      </w:r>
      <w:r>
        <w:rPr>
          <w:rFonts w:ascii="Arial" w:cs="Arial" w:eastAsia="Arial" w:hAnsi="Arial"/>
          <w:sz w:val="12"/>
          <w:szCs w:val="12"/>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891540</wp:posOffset>
                </wp:positionH>
                <wp:positionV relativeFrom="paragraph">
                  <wp:posOffset>8255</wp:posOffset>
                </wp:positionV>
                <wp:extent cx="682625" cy="12319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625" cy="123190"/>
                        </a:xfrm>
                        <a:prstGeom prst="rect">
                          <a:avLst/>
                        </a:prstGeom>
                        <a:solidFill>
                          <a:srgbClr val="D2EEF5"/>
                        </a:solidFill>
                      </wps:spPr>
                      <wps:bodyPr/>
                    </wps:wsp>
                  </a:graphicData>
                </a:graphic>
              </wp:anchor>
            </w:drawing>
          </mc:Choice>
          <mc:Fallback>
            <w:pict>
              <v:rect id="Shape 25" o:spid="_x0000_s1050" style="position:absolute;margin-left:70.2pt;margin-top:0.65pt;width:53.75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833120</wp:posOffset>
                </wp:positionH>
                <wp:positionV relativeFrom="paragraph">
                  <wp:posOffset>12065</wp:posOffset>
                </wp:positionV>
                <wp:extent cx="74104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045" cy="4763"/>
                        </a:xfrm>
                        <a:prstGeom prst="line">
                          <a:avLst/>
                        </a:prstGeom>
                        <a:solidFill>
                          <a:srgbClr val="FFFFFF"/>
                        </a:solidFill>
                        <a:ln w="734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6pt,0.95pt" to="123.95pt,0.95pt" o:allowincell="f" strokecolor="#000000" strokeweight="0.578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12065</wp:posOffset>
                </wp:positionV>
                <wp:extent cx="7334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734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95pt" to="58.2pt,0.95pt" o:allowincell="f" strokecolor="#000000" strokeweight="0.578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8450"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8499pt" to="123.95pt,-5.8499pt" o:allowincell="f" strokecolor="#000000" strokeweight="0.5709pt"/>
            </w:pict>
          </mc:Fallback>
        </mc:AlternateContent>
      </w:r>
    </w:p>
    <w:p>
      <w:pPr>
        <w:spacing w:after="0" w:line="167" w:lineRule="exact"/>
        <w:rPr>
          <w:sz w:val="20"/>
          <w:szCs w:val="20"/>
          <w:color w:val="auto"/>
        </w:rPr>
      </w:pPr>
    </w:p>
    <w:p>
      <w:pPr>
        <w:spacing w:after="0"/>
        <w:tabs>
          <w:tab w:leader="none" w:pos="360" w:val="left"/>
          <w:tab w:leader="none" w:pos="1300" w:val="left"/>
          <w:tab w:leader="none" w:pos="16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(12,163,620)</w:t>
        <w:tab/>
        <w:t>$</w:t>
      </w:r>
      <w:r>
        <w:rPr>
          <w:sz w:val="20"/>
          <w:szCs w:val="20"/>
          <w:color w:val="auto"/>
        </w:rPr>
        <w:tab/>
      </w:r>
      <w:r>
        <w:rPr>
          <w:rFonts w:ascii="Arial" w:cs="Arial" w:eastAsia="Arial" w:hAnsi="Arial"/>
          <w:sz w:val="13"/>
          <w:szCs w:val="13"/>
          <w:color w:val="auto"/>
        </w:rPr>
        <w:t>(10,731,315)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833120</wp:posOffset>
                </wp:positionH>
                <wp:positionV relativeFrom="paragraph">
                  <wp:posOffset>23495</wp:posOffset>
                </wp:positionV>
                <wp:extent cx="74104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045" cy="4763"/>
                        </a:xfrm>
                        <a:prstGeom prst="line">
                          <a:avLst/>
                        </a:prstGeom>
                        <a:solidFill>
                          <a:srgbClr val="FFFFFF"/>
                        </a:solidFill>
                        <a:ln w="7327">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6pt,1.85pt" to="123.95pt,1.85pt" o:allowincell="f" strokecolor="#000000" strokeweight="0.5769pt"/>
            </w:pict>
          </mc:Fallback>
        </mc:AlternateContent>
        <mc:AlternateContent>
          <mc:Choice Requires="wps">
            <w:drawing>
              <wp:anchor simplePos="0" relativeHeight="251657728" behindDoc="1" locked="0" layoutInCell="0" allowOverlap="1">
                <wp:simplePos x="0" y="0"/>
                <wp:positionH relativeFrom="column">
                  <wp:posOffset>891540</wp:posOffset>
                </wp:positionH>
                <wp:positionV relativeFrom="paragraph">
                  <wp:posOffset>27305</wp:posOffset>
                </wp:positionV>
                <wp:extent cx="682625" cy="13081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625" cy="130810"/>
                        </a:xfrm>
                        <a:prstGeom prst="rect">
                          <a:avLst/>
                        </a:prstGeom>
                        <a:solidFill>
                          <a:srgbClr val="D2EEF5"/>
                        </a:solidFill>
                      </wps:spPr>
                      <wps:bodyPr/>
                    </wps:wsp>
                  </a:graphicData>
                </a:graphic>
              </wp:anchor>
            </w:drawing>
          </mc:Choice>
          <mc:Fallback>
            <w:pict>
              <v:rect id="Shape 30" o:spid="_x0000_s1055" style="position:absolute;margin-left:70.2pt;margin-top:2.15pt;width:53.7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833120</wp:posOffset>
                </wp:positionH>
                <wp:positionV relativeFrom="paragraph">
                  <wp:posOffset>38100</wp:posOffset>
                </wp:positionV>
                <wp:extent cx="74104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04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6pt,3pt" to="123.95pt,3pt" o:allowincell="f" strokecolor="#000000" strokeweight="0.57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23495</wp:posOffset>
                </wp:positionV>
                <wp:extent cx="73342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7327">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85pt" to="58.2pt,1.85pt" o:allowincell="f" strokecolor="#000000" strokeweight="0.576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38100</wp:posOffset>
                </wp:positionV>
                <wp:extent cx="73342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pt" to="58.2pt,3pt" o:allowincell="f" strokecolor="#000000" strokeweight="0.57pt"/>
            </w:pict>
          </mc:Fallback>
        </mc:AlternateContent>
      </w:r>
    </w:p>
    <w:p>
      <w:pPr>
        <w:spacing w:after="0" w:line="391"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4"/>
          <w:szCs w:val="14"/>
          <w:color w:val="auto"/>
        </w:rPr>
        <w:t>15,310,308</w:t>
      </w:r>
      <w:r>
        <w:rPr>
          <w:sz w:val="20"/>
          <w:szCs w:val="20"/>
          <w:color w:val="auto"/>
        </w:rPr>
        <w:tab/>
      </w:r>
      <w:r>
        <w:rPr>
          <w:rFonts w:ascii="Arial" w:cs="Arial" w:eastAsia="Arial" w:hAnsi="Arial"/>
          <w:sz w:val="14"/>
          <w:szCs w:val="14"/>
          <w:color w:val="auto"/>
        </w:rPr>
        <w:t>8,980,207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891540</wp:posOffset>
                </wp:positionH>
                <wp:positionV relativeFrom="paragraph">
                  <wp:posOffset>-88265</wp:posOffset>
                </wp:positionV>
                <wp:extent cx="682625" cy="12255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625" cy="122555"/>
                        </a:xfrm>
                        <a:prstGeom prst="rect">
                          <a:avLst/>
                        </a:prstGeom>
                        <a:solidFill>
                          <a:srgbClr val="D2EEF5"/>
                        </a:solidFill>
                      </wps:spPr>
                      <wps:bodyPr/>
                    </wps:wsp>
                  </a:graphicData>
                </a:graphic>
              </wp:anchor>
            </w:drawing>
          </mc:Choice>
          <mc:Fallback>
            <w:pict>
              <v:rect id="Shape 34" o:spid="_x0000_s1059" style="position:absolute;margin-left:70.2pt;margin-top:-6.9499pt;width:53.75pt;height:9.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833120</wp:posOffset>
                </wp:positionH>
                <wp:positionV relativeFrom="paragraph">
                  <wp:posOffset>30480</wp:posOffset>
                </wp:positionV>
                <wp:extent cx="74104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045" cy="4763"/>
                        </a:xfrm>
                        <a:prstGeom prst="line">
                          <a:avLst/>
                        </a:prstGeom>
                        <a:solidFill>
                          <a:srgbClr val="FFFFFF"/>
                        </a:solidFill>
                        <a:ln w="7328">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6pt,2.4pt" to="123.95pt,2.4pt" o:allowincell="f" strokecolor="#000000" strokeweight="0.577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30480</wp:posOffset>
                </wp:positionV>
                <wp:extent cx="73342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7328">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4pt" to="58.2pt,2.4pt" o:allowincell="f" strokecolor="#000000" strokeweight="0.577pt"/>
            </w:pict>
          </mc:Fallback>
        </mc:AlternateContent>
      </w:r>
    </w:p>
    <w:p>
      <w:pPr>
        <w:spacing w:after="0" w:line="36"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4"/>
          <w:szCs w:val="14"/>
          <w:color w:val="auto"/>
        </w:rPr>
        <w:t>15,310,308</w:t>
      </w:r>
      <w:r>
        <w:rPr>
          <w:sz w:val="20"/>
          <w:szCs w:val="20"/>
          <w:color w:val="auto"/>
        </w:rPr>
        <w:tab/>
      </w:r>
      <w:r>
        <w:rPr>
          <w:rFonts w:ascii="Arial" w:cs="Arial" w:eastAsia="Arial" w:hAnsi="Arial"/>
          <w:sz w:val="14"/>
          <w:szCs w:val="14"/>
          <w:color w:val="auto"/>
        </w:rPr>
        <w:t>8,980,207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833120</wp:posOffset>
                </wp:positionH>
                <wp:positionV relativeFrom="paragraph">
                  <wp:posOffset>30480</wp:posOffset>
                </wp:positionV>
                <wp:extent cx="74104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04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6pt,2.4pt" to="123.95pt,2.4pt" o:allowincell="f" strokecolor="#000000" strokeweight="0.57pt"/>
            </w:pict>
          </mc:Fallback>
        </mc:AlternateContent>
        <mc:AlternateContent>
          <mc:Choice Requires="wps">
            <w:drawing>
              <wp:anchor simplePos="0" relativeHeight="251657728" behindDoc="1" locked="0" layoutInCell="0" allowOverlap="1">
                <wp:simplePos x="0" y="0"/>
                <wp:positionH relativeFrom="column">
                  <wp:posOffset>891540</wp:posOffset>
                </wp:positionH>
                <wp:positionV relativeFrom="paragraph">
                  <wp:posOffset>34290</wp:posOffset>
                </wp:positionV>
                <wp:extent cx="682625" cy="13081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625" cy="130810"/>
                        </a:xfrm>
                        <a:prstGeom prst="rect">
                          <a:avLst/>
                        </a:prstGeom>
                        <a:solidFill>
                          <a:srgbClr val="D2EEF5"/>
                        </a:solidFill>
                      </wps:spPr>
                      <wps:bodyPr/>
                    </wps:wsp>
                  </a:graphicData>
                </a:graphic>
              </wp:anchor>
            </w:drawing>
          </mc:Choice>
          <mc:Fallback>
            <w:pict>
              <v:rect id="Shape 38" o:spid="_x0000_s1063" style="position:absolute;margin-left:70.2pt;margin-top:2.7pt;width:53.75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EEF5" stroked="f"/>
            </w:pict>
          </mc:Fallback>
        </mc:AlternateContent>
        <mc:AlternateContent>
          <mc:Choice Requires="wps">
            <w:drawing>
              <wp:anchor simplePos="0" relativeHeight="251657728" behindDoc="1" locked="0" layoutInCell="0" allowOverlap="1">
                <wp:simplePos x="0" y="0"/>
                <wp:positionH relativeFrom="column">
                  <wp:posOffset>833120</wp:posOffset>
                </wp:positionH>
                <wp:positionV relativeFrom="paragraph">
                  <wp:posOffset>45085</wp:posOffset>
                </wp:positionV>
                <wp:extent cx="74104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045" cy="4763"/>
                        </a:xfrm>
                        <a:prstGeom prst="line">
                          <a:avLst/>
                        </a:prstGeom>
                        <a:solidFill>
                          <a:srgbClr val="FFFFFF"/>
                        </a:solidFill>
                        <a:ln w="734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6pt,3.55pt" to="123.95pt,3.55pt" o:allowincell="f" strokecolor="#000000" strokeweight="0.578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30480</wp:posOffset>
                </wp:positionV>
                <wp:extent cx="73342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4pt" to="58.2pt,2.4pt" o:allowincell="f" strokecolor="#000000" strokeweight="0.57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45085</wp:posOffset>
                </wp:positionV>
                <wp:extent cx="7334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734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55pt" to="58.2pt,3.55pt" o:allowincell="f" strokecolor="#000000" strokeweight="0.578pt"/>
            </w:pict>
          </mc:Fallback>
        </mc:AlternateContent>
        <mc:AlternateContent>
          <mc:Choice Requires="wps">
            <w:drawing>
              <wp:anchor simplePos="0" relativeHeight="251657728" behindDoc="1" locked="0" layoutInCell="0" allowOverlap="1">
                <wp:simplePos x="0" y="0"/>
                <wp:positionH relativeFrom="column">
                  <wp:posOffset>833120</wp:posOffset>
                </wp:positionH>
                <wp:positionV relativeFrom="paragraph">
                  <wp:posOffset>-92075</wp:posOffset>
                </wp:positionV>
                <wp:extent cx="74104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1045" cy="4763"/>
                        </a:xfrm>
                        <a:prstGeom prst="line">
                          <a:avLst/>
                        </a:prstGeom>
                        <a:solidFill>
                          <a:srgbClr val="FFFFFF"/>
                        </a:solidFill>
                        <a:ln w="7238">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6pt,-7.2499pt" to="123.95pt,-7.2499pt" o:allowincell="f" strokecolor="#000000" strokeweight="0.5699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-92075</wp:posOffset>
                </wp:positionV>
                <wp:extent cx="73342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7238">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2499pt" to="58.2pt,-7.2499pt" o:allowincell="f" strokecolor="#000000" strokeweight="0.5699pt"/>
            </w:pict>
          </mc:Fallback>
        </mc:AlternateConten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440" w:type="dxa"/>
            <w:vAlign w:val="bottom"/>
            <w:vMerge w:val="restart"/>
          </w:tcPr>
          <w:p>
            <w:pPr>
              <w:jc w:val="right"/>
              <w:ind w:right="284"/>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(0.79)</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ectPr>
          <w:pgSz w:w="11900" w:h="16834" w:orient="portrait"/>
          <w:cols w:equalWidth="0" w:num="2">
            <w:col w:w="6380" w:space="720"/>
            <w:col w:w="3540"/>
          </w:cols>
          <w:pgMar w:left="620" w:top="1440" w:right="634" w:bottom="0" w:gutter="0" w:footer="0" w:header="0"/>
          <w:type w:val="continuous"/>
        </w:sectPr>
      </w:pPr>
    </w:p>
    <w:p>
      <w:pPr>
        <w:spacing w:after="0" w:line="299" w:lineRule="auto"/>
        <w:rPr>
          <w:sz w:val="20"/>
          <w:szCs w:val="20"/>
          <w:color w:val="auto"/>
        </w:rPr>
      </w:pPr>
      <w:r>
        <w:rPr>
          <w:rFonts w:ascii="Arial" w:cs="Arial" w:eastAsia="Arial" w:hAnsi="Arial"/>
          <w:sz w:val="15"/>
          <w:szCs w:val="15"/>
          <w:color w:val="auto"/>
        </w:rPr>
        <w:t>The following securities, rounded to the thousand, were not included in the diluted net loss per share calculation because their effect was anti-dilutive for the periods presented:</w:t>
      </w:r>
    </w:p>
    <w:p>
      <w:pPr>
        <w:spacing w:after="0" w:line="114" w:lineRule="exact"/>
        <w:rPr>
          <w:sz w:val="20"/>
          <w:szCs w:val="20"/>
          <w:color w:val="auto"/>
        </w:rPr>
      </w:pPr>
    </w:p>
    <w:p>
      <w:pPr>
        <w:ind w:left="8700"/>
        <w:spacing w:after="0"/>
        <w:rPr>
          <w:sz w:val="20"/>
          <w:szCs w:val="20"/>
          <w:color w:val="auto"/>
        </w:rPr>
      </w:pPr>
      <w:r>
        <w:rPr>
          <w:rFonts w:ascii="Arial" w:cs="Arial" w:eastAsia="Arial" w:hAnsi="Arial"/>
          <w:sz w:val="12"/>
          <w:szCs w:val="12"/>
          <w:b w:val="1"/>
          <w:bCs w:val="1"/>
          <w:color w:val="auto"/>
        </w:rPr>
        <w:t>For the Years Ended</w:t>
      </w:r>
    </w:p>
    <w:p>
      <w:pPr>
        <w:ind w:left="886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1"/>
        </w:trPr>
        <w:tc>
          <w:tcPr>
            <w:tcW w:w="7820" w:type="dxa"/>
            <w:vAlign w:val="bottom"/>
            <w:tcBorders>
              <w:bottom w:val="single" w:sz="8" w:color="D2EEF5"/>
            </w:tcBorders>
          </w:tcPr>
          <w:p>
            <w:pPr>
              <w:spacing w:after="0"/>
              <w:rPr>
                <w:sz w:val="11"/>
                <w:szCs w:val="11"/>
                <w:color w:val="auto"/>
              </w:rPr>
            </w:pPr>
          </w:p>
        </w:tc>
        <w:tc>
          <w:tcPr>
            <w:tcW w:w="1300" w:type="dxa"/>
            <w:vAlign w:val="bottom"/>
            <w:tcBorders>
              <w:top w:val="single" w:sz="8" w:color="auto"/>
              <w:bottom w:val="single" w:sz="8" w:color="auto"/>
            </w:tcBorders>
          </w:tcPr>
          <w:p>
            <w:pPr>
              <w:jc w:val="right"/>
              <w:ind w:right="468"/>
              <w:spacing w:after="0" w:line="131"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bottom w:val="single" w:sz="8" w:color="D2EEF5"/>
            </w:tcBorders>
          </w:tcPr>
          <w:p>
            <w:pPr>
              <w:spacing w:after="0"/>
              <w:rPr>
                <w:sz w:val="11"/>
                <w:szCs w:val="11"/>
                <w:color w:val="auto"/>
              </w:rPr>
            </w:pPr>
          </w:p>
        </w:tc>
        <w:tc>
          <w:tcPr>
            <w:tcW w:w="1300" w:type="dxa"/>
            <w:vAlign w:val="bottom"/>
            <w:tcBorders>
              <w:top w:val="single" w:sz="8" w:color="auto"/>
              <w:bottom w:val="single" w:sz="8" w:color="auto"/>
            </w:tcBorders>
          </w:tcPr>
          <w:p>
            <w:pPr>
              <w:jc w:val="right"/>
              <w:ind w:right="448"/>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7820" w:type="dxa"/>
            <w:vAlign w:val="bottom"/>
            <w:shd w:val="clear" w:color="auto" w:fill="D2EEF5"/>
          </w:tcPr>
          <w:p>
            <w:pPr>
              <w:spacing w:after="0"/>
              <w:rPr>
                <w:sz w:val="20"/>
                <w:szCs w:val="20"/>
                <w:color w:val="auto"/>
              </w:rPr>
            </w:pPr>
            <w:r>
              <w:rPr>
                <w:rFonts w:ascii="Arial" w:cs="Arial" w:eastAsia="Arial" w:hAnsi="Arial"/>
                <w:sz w:val="15"/>
                <w:szCs w:val="15"/>
                <w:color w:val="auto"/>
              </w:rPr>
              <w:t>Common stock options</w:t>
            </w:r>
          </w:p>
        </w:tc>
        <w:tc>
          <w:tcPr>
            <w:tcW w:w="13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1,762,878</w:t>
            </w:r>
          </w:p>
        </w:tc>
        <w:tc>
          <w:tcPr>
            <w:tcW w:w="220" w:type="dxa"/>
            <w:vAlign w:val="bottom"/>
            <w:shd w:val="clear" w:color="auto" w:fill="D2EEF5"/>
          </w:tcPr>
          <w:p>
            <w:pPr>
              <w:spacing w:after="0"/>
              <w:rPr>
                <w:sz w:val="15"/>
                <w:szCs w:val="15"/>
                <w:color w:val="auto"/>
              </w:rPr>
            </w:pPr>
          </w:p>
        </w:tc>
        <w:tc>
          <w:tcPr>
            <w:tcW w:w="13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587,704</w:t>
            </w:r>
          </w:p>
        </w:tc>
      </w:tr>
      <w:tr>
        <w:trPr>
          <w:trHeight w:val="183"/>
        </w:trPr>
        <w:tc>
          <w:tcPr>
            <w:tcW w:w="782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Common stock purchase warrants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5,031,250</w:t>
            </w:r>
          </w:p>
        </w:tc>
        <w:tc>
          <w:tcPr>
            <w:tcW w:w="220" w:type="dxa"/>
            <w:vAlign w:val="bottom"/>
            <w:tcBorders>
              <w:bottom w:val="single" w:sz="8" w:color="D2EEF5"/>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8,278,695</w:t>
            </w:r>
          </w:p>
        </w:tc>
      </w:tr>
      <w:tr>
        <w:trPr>
          <w:trHeight w:val="174"/>
        </w:trPr>
        <w:tc>
          <w:tcPr>
            <w:tcW w:w="782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Potentially dilutive securities</w:t>
            </w:r>
          </w:p>
        </w:tc>
        <w:tc>
          <w:tcPr>
            <w:tcW w:w="13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6,794,128</w:t>
            </w:r>
          </w:p>
        </w:tc>
        <w:tc>
          <w:tcPr>
            <w:tcW w:w="220" w:type="dxa"/>
            <w:vAlign w:val="bottom"/>
            <w:tcBorders>
              <w:bottom w:val="single" w:sz="8" w:color="D2EEF5"/>
            </w:tcBorders>
            <w:shd w:val="clear" w:color="auto" w:fill="D2EEF5"/>
          </w:tcPr>
          <w:p>
            <w:pPr>
              <w:spacing w:after="0"/>
              <w:rPr>
                <w:sz w:val="15"/>
                <w:szCs w:val="15"/>
                <w:color w:val="auto"/>
              </w:rPr>
            </w:pPr>
          </w:p>
        </w:tc>
        <w:tc>
          <w:tcPr>
            <w:tcW w:w="13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8,866,399</w:t>
            </w:r>
          </w:p>
        </w:tc>
      </w:tr>
      <w:tr>
        <w:trPr>
          <w:trHeight w:val="20"/>
        </w:trPr>
        <w:tc>
          <w:tcPr>
            <w:tcW w:w="7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4" w:orient="portrait"/>
          <w:cols w:equalWidth="0" w:num="1">
            <w:col w:w="10640"/>
          </w:cols>
          <w:pgMar w:left="620" w:top="1440" w:right="634"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ectPr>
          <w:pgSz w:w="11900" w:h="16834" w:orient="portrait"/>
          <w:cols w:equalWidth="0" w:num="1">
            <w:col w:w="10640"/>
          </w:cols>
          <w:pgMar w:left="620" w:top="1440" w:right="634" w:bottom="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NOTE 5:</w:t>
        <w:tab/>
        <w:t>OTHER RECEIVABLE</w:t>
      </w:r>
    </w:p>
    <w:p>
      <w:pPr>
        <w:spacing w:after="0" w:line="19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Other receivable mainly consists of grant income receivable. Qualifying grant income earned in advance of cash received from grants is recognized as revenue and recorded as other receivable. The following table summarizes the Company’s other receivable balance as of December 31, 2025 and 2024, respectively:</w:t>
      </w:r>
    </w:p>
    <w:p>
      <w:pPr>
        <w:spacing w:after="0" w:line="117" w:lineRule="exact"/>
        <w:rPr>
          <w:sz w:val="20"/>
          <w:szCs w:val="20"/>
          <w:color w:val="auto"/>
        </w:rPr>
      </w:pPr>
    </w:p>
    <w:tbl>
      <w:tblPr>
        <w:tblLayout w:type="fixed"/>
        <w:tblInd w:w="108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6"/>
              <w:spacing w:after="0"/>
              <w:rPr>
                <w:sz w:val="20"/>
                <w:szCs w:val="20"/>
                <w:color w:val="auto"/>
              </w:rPr>
            </w:pPr>
            <w:r>
              <w:rPr>
                <w:rFonts w:ascii="Arial" w:cs="Arial" w:eastAsia="Arial" w:hAnsi="Arial"/>
                <w:sz w:val="12"/>
                <w:szCs w:val="12"/>
                <w:b w:val="1"/>
                <w:bCs w:val="1"/>
                <w:color w:val="auto"/>
                <w:w w:val="92"/>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Arial" w:cs="Arial" w:eastAsia="Arial" w:hAnsi="Arial"/>
                <w:sz w:val="12"/>
                <w:szCs w:val="12"/>
                <w:b w:val="1"/>
                <w:bCs w:val="1"/>
                <w:color w:val="auto"/>
                <w:w w:val="97"/>
              </w:rPr>
              <w:t>December 31,</w:t>
            </w:r>
          </w:p>
        </w:tc>
      </w:tr>
      <w:tr>
        <w:trPr>
          <w:trHeight w:val="149"/>
        </w:trPr>
        <w:tc>
          <w:tcPr>
            <w:tcW w:w="4080" w:type="dxa"/>
            <w:vAlign w:val="bottom"/>
            <w:tcBorders>
              <w:bottom w:val="single" w:sz="8" w:color="D2EEF5"/>
            </w:tcBorders>
          </w:tcPr>
          <w:p>
            <w:pPr>
              <w:spacing w:after="0"/>
              <w:rPr>
                <w:sz w:val="12"/>
                <w:szCs w:val="12"/>
                <w:color w:val="auto"/>
              </w:rPr>
            </w:pPr>
          </w:p>
        </w:tc>
        <w:tc>
          <w:tcPr>
            <w:tcW w:w="2280" w:type="dxa"/>
            <w:vAlign w:val="bottom"/>
            <w:tcBorders>
              <w:bottom w:val="single" w:sz="8" w:color="D2EEF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bottom w:val="single" w:sz="8" w:color="D2EEF5"/>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2024</w:t>
            </w:r>
          </w:p>
        </w:tc>
      </w:tr>
      <w:tr>
        <w:trPr>
          <w:trHeight w:val="174"/>
        </w:trPr>
        <w:tc>
          <w:tcPr>
            <w:tcW w:w="4080" w:type="dxa"/>
            <w:vAlign w:val="bottom"/>
            <w:shd w:val="clear" w:color="auto" w:fill="D2EEF5"/>
          </w:tcPr>
          <w:p>
            <w:pPr>
              <w:spacing w:after="0"/>
              <w:rPr>
                <w:sz w:val="20"/>
                <w:szCs w:val="20"/>
                <w:color w:val="auto"/>
              </w:rPr>
            </w:pPr>
            <w:r>
              <w:rPr>
                <w:rFonts w:ascii="Arial" w:cs="Arial" w:eastAsia="Arial" w:hAnsi="Arial"/>
                <w:sz w:val="15"/>
                <w:szCs w:val="15"/>
                <w:color w:val="auto"/>
              </w:rPr>
              <w:t>Grant income receivable:</w:t>
            </w:r>
          </w:p>
        </w:tc>
        <w:tc>
          <w:tcPr>
            <w:tcW w:w="22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spacing w:after="0"/>
              <w:rPr>
                <w:sz w:val="15"/>
                <w:szCs w:val="15"/>
                <w:color w:val="auto"/>
              </w:rPr>
            </w:pPr>
          </w:p>
        </w:tc>
      </w:tr>
      <w:tr>
        <w:trPr>
          <w:trHeight w:val="183"/>
        </w:trPr>
        <w:tc>
          <w:tcPr>
            <w:tcW w:w="4080" w:type="dxa"/>
            <w:vAlign w:val="bottom"/>
          </w:tcPr>
          <w:p>
            <w:pPr>
              <w:ind w:left="180"/>
              <w:spacing w:after="0"/>
              <w:rPr>
                <w:sz w:val="20"/>
                <w:szCs w:val="20"/>
                <w:color w:val="auto"/>
              </w:rPr>
            </w:pPr>
            <w:r>
              <w:rPr>
                <w:rFonts w:ascii="Arial" w:cs="Arial" w:eastAsia="Arial" w:hAnsi="Arial"/>
                <w:sz w:val="15"/>
                <w:szCs w:val="15"/>
                <w:color w:val="auto"/>
              </w:rPr>
              <w:t>CPRIT AML Grant</w:t>
            </w:r>
          </w:p>
        </w:tc>
        <w:tc>
          <w:tcPr>
            <w:tcW w:w="2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815,436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2,059,457</w:t>
            </w:r>
          </w:p>
        </w:tc>
      </w:tr>
      <w:tr>
        <w:trPr>
          <w:trHeight w:val="183"/>
        </w:trPr>
        <w:tc>
          <w:tcPr>
            <w:tcW w:w="4080" w:type="dxa"/>
            <w:vAlign w:val="bottom"/>
            <w:shd w:val="clear" w:color="auto" w:fill="D2EEF5"/>
          </w:tcPr>
          <w:p>
            <w:pPr>
              <w:ind w:left="180"/>
              <w:spacing w:after="0"/>
              <w:rPr>
                <w:sz w:val="20"/>
                <w:szCs w:val="20"/>
                <w:color w:val="auto"/>
              </w:rPr>
            </w:pPr>
            <w:r>
              <w:rPr>
                <w:rFonts w:ascii="Arial" w:cs="Arial" w:eastAsia="Arial" w:hAnsi="Arial"/>
                <w:sz w:val="15"/>
                <w:szCs w:val="15"/>
                <w:color w:val="auto"/>
              </w:rPr>
              <w:t>FDA Grant</w:t>
            </w:r>
          </w:p>
        </w:tc>
        <w:tc>
          <w:tcPr>
            <w:tcW w:w="22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3,678</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4080" w:type="dxa"/>
            <w:vAlign w:val="bottom"/>
          </w:tcPr>
          <w:p>
            <w:pPr>
              <w:ind w:left="180"/>
              <w:spacing w:after="0"/>
              <w:rPr>
                <w:sz w:val="20"/>
                <w:szCs w:val="20"/>
                <w:color w:val="auto"/>
              </w:rPr>
            </w:pPr>
            <w:r>
              <w:rPr>
                <w:rFonts w:ascii="Arial" w:cs="Arial" w:eastAsia="Arial" w:hAnsi="Arial"/>
                <w:sz w:val="15"/>
                <w:szCs w:val="15"/>
                <w:color w:val="auto"/>
              </w:rPr>
              <w:t>SBIR AML Grant</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162,897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244,810</w:t>
            </w:r>
          </w:p>
        </w:tc>
      </w:tr>
      <w:tr>
        <w:trPr>
          <w:trHeight w:val="183"/>
        </w:trPr>
        <w:tc>
          <w:tcPr>
            <w:tcW w:w="4080" w:type="dxa"/>
            <w:vAlign w:val="bottom"/>
            <w:shd w:val="clear" w:color="auto" w:fill="D2EEF5"/>
          </w:tcPr>
          <w:p>
            <w:pPr>
              <w:ind w:left="180"/>
              <w:spacing w:after="0"/>
              <w:rPr>
                <w:sz w:val="20"/>
                <w:szCs w:val="20"/>
                <w:color w:val="auto"/>
              </w:rPr>
            </w:pPr>
            <w:r>
              <w:rPr>
                <w:rFonts w:ascii="Arial" w:cs="Arial" w:eastAsia="Arial" w:hAnsi="Arial"/>
                <w:sz w:val="15"/>
                <w:szCs w:val="15"/>
                <w:color w:val="auto"/>
              </w:rPr>
              <w:t>Decoy Grant</w:t>
            </w:r>
          </w:p>
        </w:tc>
        <w:tc>
          <w:tcPr>
            <w:tcW w:w="22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59,501</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5,822</w:t>
            </w:r>
          </w:p>
        </w:tc>
      </w:tr>
      <w:tr>
        <w:trPr>
          <w:trHeight w:val="183"/>
        </w:trPr>
        <w:tc>
          <w:tcPr>
            <w:tcW w:w="4080" w:type="dxa"/>
            <w:vAlign w:val="bottom"/>
          </w:tcPr>
          <w:p>
            <w:pPr>
              <w:ind w:left="180"/>
              <w:spacing w:after="0"/>
              <w:rPr>
                <w:sz w:val="20"/>
                <w:szCs w:val="20"/>
                <w:color w:val="auto"/>
              </w:rPr>
            </w:pPr>
            <w:r>
              <w:rPr>
                <w:rFonts w:ascii="Arial" w:cs="Arial" w:eastAsia="Arial" w:hAnsi="Arial"/>
                <w:sz w:val="15"/>
                <w:szCs w:val="15"/>
                <w:color w:val="auto"/>
              </w:rPr>
              <w:t>SBIR NHL Grant</w:t>
            </w: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87,417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4080" w:type="dxa"/>
            <w:vAlign w:val="bottom"/>
            <w:tcBorders>
              <w:bottom w:val="single" w:sz="8" w:color="D2EEF5"/>
            </w:tcBorders>
            <w:shd w:val="clear" w:color="auto" w:fill="D2EEF5"/>
          </w:tcPr>
          <w:p>
            <w:pPr>
              <w:ind w:left="180"/>
              <w:spacing w:after="0"/>
              <w:rPr>
                <w:sz w:val="20"/>
                <w:szCs w:val="20"/>
                <w:color w:val="auto"/>
              </w:rPr>
            </w:pPr>
            <w:r>
              <w:rPr>
                <w:rFonts w:ascii="Arial" w:cs="Arial" w:eastAsia="Arial" w:hAnsi="Arial"/>
                <w:sz w:val="15"/>
                <w:szCs w:val="15"/>
                <w:color w:val="auto"/>
              </w:rPr>
              <w:t>PANACEA Grant</w:t>
            </w:r>
          </w:p>
        </w:tc>
        <w:tc>
          <w:tcPr>
            <w:tcW w:w="2280" w:type="dxa"/>
            <w:vAlign w:val="bottom"/>
            <w:tcBorders>
              <w:bottom w:val="single" w:sz="8" w:color="D2EEF5"/>
            </w:tcBorders>
            <w:shd w:val="clear" w:color="auto" w:fill="D2EEF5"/>
          </w:tcPr>
          <w:p>
            <w:pPr>
              <w:spacing w:after="0"/>
              <w:rPr>
                <w:sz w:val="17"/>
                <w:szCs w:val="17"/>
                <w:color w:val="auto"/>
              </w:rPr>
            </w:pPr>
          </w:p>
        </w:tc>
        <w:tc>
          <w:tcPr>
            <w:tcW w:w="100" w:type="dxa"/>
            <w:vAlign w:val="bottom"/>
            <w:tcBorders>
              <w:bottom w:val="single" w:sz="8" w:color="auto"/>
            </w:tcBorders>
            <w:shd w:val="clear" w:color="auto" w:fill="D2EEF5"/>
          </w:tcPr>
          <w:p>
            <w:pPr>
              <w:spacing w:after="0"/>
              <w:rPr>
                <w:sz w:val="17"/>
                <w:szCs w:val="17"/>
                <w:color w:val="auto"/>
              </w:rPr>
            </w:pP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190,052</w:t>
            </w:r>
          </w:p>
        </w:tc>
        <w:tc>
          <w:tcPr>
            <w:tcW w:w="160" w:type="dxa"/>
            <w:vAlign w:val="bottom"/>
            <w:tcBorders>
              <w:bottom w:val="single" w:sz="8" w:color="D2EEF5"/>
            </w:tcBorders>
            <w:shd w:val="clear" w:color="auto" w:fill="D2EEF5"/>
          </w:tcPr>
          <w:p>
            <w:pPr>
              <w:spacing w:after="0"/>
              <w:rPr>
                <w:sz w:val="17"/>
                <w:szCs w:val="17"/>
                <w:color w:val="auto"/>
              </w:rPr>
            </w:pPr>
          </w:p>
        </w:tc>
        <w:tc>
          <w:tcPr>
            <w:tcW w:w="80" w:type="dxa"/>
            <w:vAlign w:val="bottom"/>
            <w:tcBorders>
              <w:bottom w:val="single" w:sz="8" w:color="auto"/>
            </w:tcBorders>
            <w:shd w:val="clear" w:color="auto" w:fill="D2EEF5"/>
          </w:tcPr>
          <w:p>
            <w:pPr>
              <w:spacing w:after="0"/>
              <w:rPr>
                <w:sz w:val="17"/>
                <w:szCs w:val="17"/>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6,502</w:t>
            </w:r>
          </w:p>
        </w:tc>
      </w:tr>
      <w:tr>
        <w:trPr>
          <w:trHeight w:val="154"/>
        </w:trPr>
        <w:tc>
          <w:tcPr>
            <w:tcW w:w="4080" w:type="dxa"/>
            <w:vAlign w:val="bottom"/>
          </w:tcPr>
          <w:p>
            <w:pPr>
              <w:spacing w:after="0" w:line="154" w:lineRule="exact"/>
              <w:rPr>
                <w:sz w:val="20"/>
                <w:szCs w:val="20"/>
                <w:color w:val="auto"/>
              </w:rPr>
            </w:pPr>
            <w:r>
              <w:rPr>
                <w:rFonts w:ascii="Arial" w:cs="Arial" w:eastAsia="Arial" w:hAnsi="Arial"/>
                <w:sz w:val="15"/>
                <w:szCs w:val="15"/>
                <w:color w:val="auto"/>
              </w:rPr>
              <w:t>Total grant income receivable</w:t>
            </w: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4" w:lineRule="exact"/>
              <w:rPr>
                <w:sz w:val="20"/>
                <w:szCs w:val="20"/>
                <w:color w:val="auto"/>
              </w:rPr>
            </w:pPr>
            <w:r>
              <w:rPr>
                <w:rFonts w:ascii="Arial" w:cs="Arial" w:eastAsia="Arial" w:hAnsi="Arial"/>
                <w:sz w:val="15"/>
                <w:szCs w:val="15"/>
                <w:color w:val="auto"/>
              </w:rPr>
              <w:t>1,318,981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Arial" w:cs="Arial" w:eastAsia="Arial" w:hAnsi="Arial"/>
                <w:sz w:val="15"/>
                <w:szCs w:val="15"/>
                <w:color w:val="auto"/>
              </w:rPr>
              <w:t>2,316,591</w:t>
            </w:r>
          </w:p>
        </w:tc>
      </w:tr>
      <w:tr>
        <w:trPr>
          <w:trHeight w:val="183"/>
        </w:trPr>
        <w:tc>
          <w:tcPr>
            <w:tcW w:w="4080" w:type="dxa"/>
            <w:vAlign w:val="bottom"/>
            <w:shd w:val="clear" w:color="auto" w:fill="D2EEF5"/>
          </w:tcPr>
          <w:p>
            <w:pPr>
              <w:spacing w:after="0"/>
              <w:rPr>
                <w:sz w:val="20"/>
                <w:szCs w:val="20"/>
                <w:color w:val="auto"/>
              </w:rPr>
            </w:pPr>
            <w:r>
              <w:rPr>
                <w:rFonts w:ascii="Arial" w:cs="Arial" w:eastAsia="Arial" w:hAnsi="Arial"/>
                <w:sz w:val="15"/>
                <w:szCs w:val="15"/>
                <w:color w:val="auto"/>
              </w:rPr>
              <w:t>Interest receivable</w:t>
            </w:r>
          </w:p>
        </w:tc>
        <w:tc>
          <w:tcPr>
            <w:tcW w:w="228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50,419</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28,112</w:t>
            </w:r>
          </w:p>
        </w:tc>
      </w:tr>
      <w:tr>
        <w:trPr>
          <w:trHeight w:val="183"/>
        </w:trPr>
        <w:tc>
          <w:tcPr>
            <w:tcW w:w="408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Other</w:t>
            </w:r>
          </w:p>
        </w:tc>
        <w:tc>
          <w:tcPr>
            <w:tcW w:w="2280" w:type="dxa"/>
            <w:vAlign w:val="bottom"/>
            <w:tcBorders>
              <w:bottom w:val="single" w:sz="8" w:color="D2EE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D2EE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w:t>
            </w:r>
          </w:p>
        </w:tc>
      </w:tr>
      <w:tr>
        <w:trPr>
          <w:trHeight w:val="174"/>
        </w:trPr>
        <w:tc>
          <w:tcPr>
            <w:tcW w:w="40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Total other receivable</w:t>
            </w:r>
          </w:p>
        </w:tc>
        <w:tc>
          <w:tcPr>
            <w:tcW w:w="2280" w:type="dxa"/>
            <w:vAlign w:val="bottom"/>
            <w:tcBorders>
              <w:bottom w:val="single" w:sz="8" w:color="D2EEF5"/>
            </w:tcBorders>
            <w:shd w:val="clear" w:color="auto" w:fill="D2EEF5"/>
          </w:tcPr>
          <w:p>
            <w:pPr>
              <w:spacing w:after="0"/>
              <w:rPr>
                <w:sz w:val="15"/>
                <w:szCs w:val="15"/>
                <w:color w:val="auto"/>
              </w:rPr>
            </w:pPr>
          </w:p>
        </w:tc>
        <w:tc>
          <w:tcPr>
            <w:tcW w:w="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shd w:val="clear" w:color="auto" w:fill="D2EEF5"/>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shd w:val="clear" w:color="auto" w:fill="D2EEF5"/>
              </w:rPr>
              <w:t>1,369,400</w:t>
            </w:r>
          </w:p>
        </w:tc>
        <w:tc>
          <w:tcPr>
            <w:tcW w:w="160" w:type="dxa"/>
            <w:vAlign w:val="bottom"/>
            <w:tcBorders>
              <w:bottom w:val="single" w:sz="8" w:color="D2EEF5"/>
            </w:tcBorders>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color w:val="auto"/>
                <w:w w:val="71"/>
                <w:shd w:val="clear" w:color="auto" w:fill="D2EEF5"/>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2,346,703</w:t>
            </w:r>
          </w:p>
        </w:tc>
      </w:tr>
      <w:tr>
        <w:trPr>
          <w:trHeight w:val="20"/>
        </w:trPr>
        <w:tc>
          <w:tcPr>
            <w:tcW w:w="4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Refer to Note 2 for details related to awarded grants and Note 9 for more information on grant income.</w:t>
      </w:r>
    </w:p>
    <w:p>
      <w:pPr>
        <w:spacing w:after="0" w:line="203"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NOTE 6:</w:t>
      </w:r>
      <w:r>
        <w:rPr>
          <w:sz w:val="20"/>
          <w:szCs w:val="20"/>
          <w:color w:val="auto"/>
        </w:rPr>
        <w:tab/>
      </w:r>
      <w:r>
        <w:rPr>
          <w:rFonts w:ascii="Arial" w:cs="Arial" w:eastAsia="Arial" w:hAnsi="Arial"/>
          <w:sz w:val="15"/>
          <w:szCs w:val="15"/>
          <w:b w:val="1"/>
          <w:bCs w:val="1"/>
          <w:color w:val="auto"/>
        </w:rPr>
        <w:t>ACCOUNTS PAYABLE, ACCRUED LIABILITIES, AND RELATED PARTY PAYABLE</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 accrued liabilities, and related party payable consist of the following as of December 31, 2025 and 2024, respectively:</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67"/>
              <w:spacing w:after="0"/>
              <w:rPr>
                <w:sz w:val="20"/>
                <w:szCs w:val="20"/>
                <w:color w:val="auto"/>
              </w:rPr>
            </w:pPr>
            <w:r>
              <w:rPr>
                <w:rFonts w:ascii="Arial" w:cs="Arial" w:eastAsia="Arial" w:hAnsi="Arial"/>
                <w:sz w:val="12"/>
                <w:szCs w:val="12"/>
                <w:b w:val="1"/>
                <w:bCs w:val="1"/>
                <w:color w:val="auto"/>
                <w:w w:val="92"/>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87"/>
              <w:spacing w:after="0"/>
              <w:rPr>
                <w:sz w:val="20"/>
                <w:szCs w:val="20"/>
                <w:color w:val="auto"/>
              </w:rPr>
            </w:pPr>
            <w:r>
              <w:rPr>
                <w:rFonts w:ascii="Arial" w:cs="Arial" w:eastAsia="Arial" w:hAnsi="Arial"/>
                <w:sz w:val="12"/>
                <w:szCs w:val="12"/>
                <w:b w:val="1"/>
                <w:bCs w:val="1"/>
                <w:color w:val="auto"/>
                <w:w w:val="94"/>
              </w:rPr>
              <w:t>December 31,</w:t>
            </w:r>
          </w:p>
        </w:tc>
      </w:tr>
      <w:tr>
        <w:trPr>
          <w:trHeight w:val="149"/>
        </w:trPr>
        <w:tc>
          <w:tcPr>
            <w:tcW w:w="4560" w:type="dxa"/>
            <w:vAlign w:val="bottom"/>
            <w:tcBorders>
              <w:bottom w:val="single" w:sz="8" w:color="D2EEF5"/>
            </w:tcBorders>
          </w:tcPr>
          <w:p>
            <w:pPr>
              <w:spacing w:after="0"/>
              <w:rPr>
                <w:sz w:val="12"/>
                <w:szCs w:val="12"/>
                <w:color w:val="auto"/>
              </w:rPr>
            </w:pPr>
          </w:p>
        </w:tc>
        <w:tc>
          <w:tcPr>
            <w:tcW w:w="1800" w:type="dxa"/>
            <w:vAlign w:val="bottom"/>
            <w:tcBorders>
              <w:bottom w:val="single" w:sz="8" w:color="D2EEF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bottom w:val="single" w:sz="8" w:color="D2EEF5"/>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2024</w:t>
            </w:r>
          </w:p>
        </w:tc>
      </w:tr>
      <w:tr>
        <w:trPr>
          <w:trHeight w:val="174"/>
        </w:trPr>
        <w:tc>
          <w:tcPr>
            <w:tcW w:w="4560" w:type="dxa"/>
            <w:vAlign w:val="bottom"/>
            <w:shd w:val="clear" w:color="auto" w:fill="D2EEF5"/>
          </w:tcPr>
          <w:p>
            <w:pPr>
              <w:spacing w:after="0"/>
              <w:rPr>
                <w:sz w:val="20"/>
                <w:szCs w:val="20"/>
                <w:color w:val="auto"/>
              </w:rPr>
            </w:pPr>
            <w:r>
              <w:rPr>
                <w:rFonts w:ascii="Arial" w:cs="Arial" w:eastAsia="Arial" w:hAnsi="Arial"/>
                <w:sz w:val="15"/>
                <w:szCs w:val="15"/>
                <w:color w:val="auto"/>
              </w:rPr>
              <w:t>Accounts payable</w:t>
            </w:r>
          </w:p>
        </w:tc>
        <w:tc>
          <w:tcPr>
            <w:tcW w:w="1800" w:type="dxa"/>
            <w:vAlign w:val="bottom"/>
            <w:shd w:val="clear" w:color="auto" w:fill="D2EEF5"/>
          </w:tcPr>
          <w:p>
            <w:pPr>
              <w:spacing w:after="0"/>
              <w:rPr>
                <w:sz w:val="15"/>
                <w:szCs w:val="15"/>
                <w:color w:val="auto"/>
              </w:rPr>
            </w:pPr>
          </w:p>
        </w:tc>
        <w:tc>
          <w:tcPr>
            <w:tcW w:w="100" w:type="dxa"/>
            <w:vAlign w:val="bottom"/>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793,727</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1,066,395</w:t>
            </w:r>
          </w:p>
        </w:tc>
      </w:tr>
      <w:tr>
        <w:trPr>
          <w:trHeight w:val="183"/>
        </w:trPr>
        <w:tc>
          <w:tcPr>
            <w:tcW w:w="4560" w:type="dxa"/>
            <w:vAlign w:val="bottom"/>
          </w:tcPr>
          <w:p>
            <w:pPr>
              <w:spacing w:after="0"/>
              <w:rPr>
                <w:sz w:val="20"/>
                <w:szCs w:val="20"/>
                <w:color w:val="auto"/>
              </w:rPr>
            </w:pPr>
            <w:r>
              <w:rPr>
                <w:rFonts w:ascii="Arial" w:cs="Arial" w:eastAsia="Arial" w:hAnsi="Arial"/>
                <w:sz w:val="15"/>
                <w:szCs w:val="15"/>
                <w:color w:val="auto"/>
              </w:rPr>
              <w:t>Compensation and benefits</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87,083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86,350</w:t>
            </w:r>
          </w:p>
        </w:tc>
      </w:tr>
      <w:tr>
        <w:trPr>
          <w:trHeight w:val="183"/>
        </w:trPr>
        <w:tc>
          <w:tcPr>
            <w:tcW w:w="4560" w:type="dxa"/>
            <w:vAlign w:val="bottom"/>
            <w:shd w:val="clear" w:color="auto" w:fill="D2EEF5"/>
          </w:tcPr>
          <w:p>
            <w:pPr>
              <w:spacing w:after="0"/>
              <w:rPr>
                <w:sz w:val="20"/>
                <w:szCs w:val="20"/>
                <w:color w:val="auto"/>
              </w:rPr>
            </w:pPr>
            <w:r>
              <w:rPr>
                <w:rFonts w:ascii="Arial" w:cs="Arial" w:eastAsia="Arial" w:hAnsi="Arial"/>
                <w:sz w:val="15"/>
                <w:szCs w:val="15"/>
                <w:color w:val="auto"/>
              </w:rPr>
              <w:t>Professional fees</w:t>
            </w:r>
          </w:p>
        </w:tc>
        <w:tc>
          <w:tcPr>
            <w:tcW w:w="18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160,008</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293,189</w:t>
            </w:r>
          </w:p>
        </w:tc>
      </w:tr>
      <w:tr>
        <w:trPr>
          <w:trHeight w:val="183"/>
        </w:trPr>
        <w:tc>
          <w:tcPr>
            <w:tcW w:w="4560" w:type="dxa"/>
            <w:vAlign w:val="bottom"/>
          </w:tcPr>
          <w:p>
            <w:pPr>
              <w:spacing w:after="0"/>
              <w:rPr>
                <w:sz w:val="20"/>
                <w:szCs w:val="20"/>
                <w:color w:val="auto"/>
              </w:rPr>
            </w:pPr>
            <w:r>
              <w:rPr>
                <w:rFonts w:ascii="Arial" w:cs="Arial" w:eastAsia="Arial" w:hAnsi="Arial"/>
                <w:sz w:val="15"/>
                <w:szCs w:val="15"/>
                <w:color w:val="auto"/>
              </w:rPr>
              <w:t>Related party payable</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1,710,500</w:t>
            </w:r>
          </w:p>
        </w:tc>
      </w:tr>
      <w:tr>
        <w:trPr>
          <w:trHeight w:val="183"/>
        </w:trPr>
        <w:tc>
          <w:tcPr>
            <w:tcW w:w="4560" w:type="dxa"/>
            <w:vAlign w:val="bottom"/>
            <w:shd w:val="clear" w:color="auto" w:fill="D2EEF5"/>
          </w:tcPr>
          <w:p>
            <w:pPr>
              <w:spacing w:after="0"/>
              <w:rPr>
                <w:sz w:val="20"/>
                <w:szCs w:val="20"/>
                <w:color w:val="auto"/>
              </w:rPr>
            </w:pPr>
            <w:r>
              <w:rPr>
                <w:rFonts w:ascii="Arial" w:cs="Arial" w:eastAsia="Arial" w:hAnsi="Arial"/>
                <w:sz w:val="15"/>
                <w:szCs w:val="15"/>
                <w:color w:val="auto"/>
              </w:rPr>
              <w:t>Tax fees</w:t>
            </w:r>
          </w:p>
        </w:tc>
        <w:tc>
          <w:tcPr>
            <w:tcW w:w="180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54,638</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104,591</w:t>
            </w:r>
          </w:p>
        </w:tc>
      </w:tr>
      <w:tr>
        <w:trPr>
          <w:trHeight w:val="183"/>
        </w:trPr>
        <w:tc>
          <w:tcPr>
            <w:tcW w:w="456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Other</w:t>
            </w:r>
          </w:p>
        </w:tc>
        <w:tc>
          <w:tcPr>
            <w:tcW w:w="1800" w:type="dxa"/>
            <w:vAlign w:val="bottom"/>
            <w:tcBorders>
              <w:bottom w:val="single" w:sz="8" w:color="D2EE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203,928</w:t>
            </w:r>
          </w:p>
        </w:tc>
        <w:tc>
          <w:tcPr>
            <w:tcW w:w="160" w:type="dxa"/>
            <w:vAlign w:val="bottom"/>
            <w:tcBorders>
              <w:bottom w:val="single" w:sz="8" w:color="D2EE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203,429</w:t>
            </w:r>
          </w:p>
        </w:tc>
      </w:tr>
      <w:tr>
        <w:trPr>
          <w:trHeight w:val="174"/>
        </w:trPr>
        <w:tc>
          <w:tcPr>
            <w:tcW w:w="456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Total accounts payable and accrued liabilities</w:t>
            </w:r>
          </w:p>
        </w:tc>
        <w:tc>
          <w:tcPr>
            <w:tcW w:w="1800" w:type="dxa"/>
            <w:vAlign w:val="bottom"/>
            <w:tcBorders>
              <w:bottom w:val="single" w:sz="8" w:color="D2EEF5"/>
            </w:tcBorders>
            <w:shd w:val="clear" w:color="auto" w:fill="D2EEF5"/>
          </w:tcPr>
          <w:p>
            <w:pPr>
              <w:spacing w:after="0"/>
              <w:rPr>
                <w:sz w:val="15"/>
                <w:szCs w:val="15"/>
                <w:color w:val="auto"/>
              </w:rPr>
            </w:pPr>
          </w:p>
        </w:tc>
        <w:tc>
          <w:tcPr>
            <w:tcW w:w="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shd w:val="clear" w:color="auto" w:fill="D2EEF5"/>
              </w:rPr>
              <w:t>$</w:t>
            </w:r>
          </w:p>
        </w:tc>
        <w:tc>
          <w:tcPr>
            <w:tcW w:w="8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shd w:val="clear" w:color="auto" w:fill="D2EEF5"/>
              </w:rPr>
              <w:t>1,299,384</w:t>
            </w:r>
          </w:p>
        </w:tc>
        <w:tc>
          <w:tcPr>
            <w:tcW w:w="160" w:type="dxa"/>
            <w:vAlign w:val="bottom"/>
            <w:tcBorders>
              <w:bottom w:val="single" w:sz="8" w:color="D2EEF5"/>
            </w:tcBorders>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color w:val="auto"/>
                <w:w w:val="71"/>
                <w:shd w:val="clear" w:color="auto" w:fill="D2EEF5"/>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3,464,454</w:t>
            </w:r>
          </w:p>
        </w:tc>
      </w:tr>
      <w:tr>
        <w:trPr>
          <w:trHeight w:val="20"/>
        </w:trPr>
        <w:tc>
          <w:tcPr>
            <w:tcW w:w="4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$1.7 million related-party payable as of December 31, 2024 reflects amounts for outsourced product development and manufacturing services. See Note 11: Related Party Transactions.</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ectPr>
          <w:pgSz w:w="11900" w:h="16834" w:orient="portrait"/>
          <w:cols w:equalWidth="0" w:num="1">
            <w:col w:w="10640"/>
          </w:cols>
          <w:pgMar w:left="620" w:top="1440" w:right="634"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NOTE 7:</w:t>
        <w:tab/>
        <w:t>STOCKHOLDERS’ EQUITY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Transactions</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has authorized up to 30,000,000 shares of common stock, $0.001 par value per share, for issuance. Significant 2025 and 2024 common stock transactions were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Issuance of Common Stock Pursuant to ATM Agreement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December 31, 2025, the Company sold 5,358,292 shares of its common stock under the ATM Agreement for gross proceeds of $9.9 million.</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2024, the Company sold 8,178 shares of its common stock under the ATM Agreement for gross proceeds of $37,000. On June 10, 2024, the Company provided notice of its termination of the ATM Agreement with Cantor Fitzgerald &amp; Co. and RBC Capital Markets, LLC. In November 2024, the Company entered into an ATM Agreement with H.C. Wainwright &amp; Co., LLC.</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Private Placement</w:t>
      </w:r>
    </w:p>
    <w:p>
      <w:pPr>
        <w:spacing w:after="0" w:line="191" w:lineRule="exact"/>
        <w:rPr>
          <w:sz w:val="20"/>
          <w:szCs w:val="20"/>
          <w:color w:val="auto"/>
        </w:rPr>
      </w:pPr>
    </w:p>
    <w:p>
      <w:pPr>
        <w:jc w:val="both"/>
        <w:ind w:firstLine="1"/>
        <w:spacing w:after="0" w:line="282" w:lineRule="auto"/>
        <w:rPr>
          <w:sz w:val="20"/>
          <w:szCs w:val="20"/>
          <w:color w:val="auto"/>
        </w:rPr>
      </w:pPr>
      <w:r>
        <w:rPr>
          <w:rFonts w:ascii="Arial" w:cs="Arial" w:eastAsia="Arial" w:hAnsi="Arial"/>
          <w:sz w:val="14"/>
          <w:szCs w:val="14"/>
          <w:color w:val="auto"/>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Net proceeds from the sale of securities in the Private Placement was approximately $14.9 million, which does not include any proceeds that may be received upon the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Exercise of Stock Options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During the year ended December 31, 2024, certain outstanding options were exercised for 25,602 shares of common stock providing aggregate proceeds to the Company of approximately $62,000.</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Exercise of Pre-funded Warrants</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During the year ended December 31, 2025, certain outstanding pre-funded warrants were exercised for 605,830 shares of common stock providing aggregate proceeds to the Company of $605.</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ectPr>
          <w:pgSz w:w="11900" w:h="16834" w:orient="portrait"/>
          <w:cols w:equalWidth="0" w:num="1">
            <w:col w:w="10640"/>
          </w:cols>
          <w:pgMar w:left="620" w:top="1440" w:right="634" w:bottom="0" w:gutter="0" w:footer="0" w:header="0"/>
          <w:type w:val="continuous"/>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Preferred Stock</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Warrant Summary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total warrants outstanding at December 31,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39"/>
              <w:spacing w:after="0"/>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Outstanding</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0"/>
              </w:rPr>
              <w:t>Outstanding</w:t>
            </w:r>
          </w:p>
        </w:tc>
        <w:tc>
          <w:tcPr>
            <w:tcW w:w="0" w:type="dxa"/>
            <w:vAlign w:val="bottom"/>
          </w:tcPr>
          <w:p>
            <w:pPr>
              <w:spacing w:after="0"/>
              <w:rPr>
                <w:sz w:val="1"/>
                <w:szCs w:val="1"/>
                <w:color w:val="auto"/>
              </w:rPr>
            </w:pPr>
          </w:p>
        </w:tc>
      </w:tr>
      <w:tr>
        <w:trPr>
          <w:trHeight w:val="126"/>
        </w:trPr>
        <w:tc>
          <w:tcPr>
            <w:tcW w:w="3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Expiration</w:t>
            </w:r>
          </w:p>
        </w:tc>
        <w:tc>
          <w:tcPr>
            <w:tcW w:w="1080" w:type="dxa"/>
            <w:vAlign w:val="bottom"/>
            <w:gridSpan w:val="2"/>
          </w:tcPr>
          <w:p>
            <w:pPr>
              <w:jc w:val="center"/>
              <w:ind w:right="120"/>
              <w:spacing w:after="0" w:line="126" w:lineRule="exact"/>
              <w:rPr>
                <w:sz w:val="20"/>
                <w:szCs w:val="20"/>
                <w:color w:val="auto"/>
              </w:rPr>
            </w:pPr>
            <w:r>
              <w:rPr>
                <w:rFonts w:ascii="Arial" w:cs="Arial" w:eastAsia="Arial" w:hAnsi="Arial"/>
                <w:sz w:val="12"/>
                <w:szCs w:val="12"/>
                <w:b w:val="1"/>
                <w:bCs w:val="1"/>
                <w:color w:val="auto"/>
                <w:w w:val="85"/>
              </w:rPr>
              <w:t>as of</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8"/>
              </w:rPr>
              <w:t>New</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5"/>
              </w:rPr>
              <w:t>as of</w:t>
            </w:r>
          </w:p>
        </w:tc>
        <w:tc>
          <w:tcPr>
            <w:tcW w:w="0" w:type="dxa"/>
            <w:vAlign w:val="bottom"/>
          </w:tcPr>
          <w:p>
            <w:pPr>
              <w:spacing w:after="0"/>
              <w:rPr>
                <w:sz w:val="1"/>
                <w:szCs w:val="1"/>
                <w:color w:val="auto"/>
              </w:rPr>
            </w:pPr>
          </w:p>
        </w:tc>
      </w:tr>
      <w:tr>
        <w:trPr>
          <w:trHeight w:val="126"/>
        </w:trPr>
        <w:tc>
          <w:tcPr>
            <w:tcW w:w="3880" w:type="dxa"/>
            <w:vAlign w:val="bottom"/>
          </w:tcPr>
          <w:p>
            <w:pPr>
              <w:spacing w:after="0"/>
              <w:rPr>
                <w:sz w:val="10"/>
                <w:szCs w:val="10"/>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89"/>
              </w:rPr>
              <w:t>Issue Date</w:t>
            </w:r>
          </w:p>
        </w:tc>
        <w:tc>
          <w:tcPr>
            <w:tcW w:w="100" w:type="dxa"/>
            <w:vAlign w:val="bottom"/>
          </w:tcPr>
          <w:p>
            <w:pPr>
              <w:spacing w:after="0"/>
              <w:rPr>
                <w:sz w:val="10"/>
                <w:szCs w:val="10"/>
                <w:color w:val="auto"/>
              </w:rPr>
            </w:pPr>
          </w:p>
        </w:tc>
        <w:tc>
          <w:tcPr>
            <w:tcW w:w="620" w:type="dxa"/>
            <w:vAlign w:val="bottom"/>
          </w:tcPr>
          <w:p>
            <w:pPr>
              <w:jc w:val="center"/>
              <w:ind w:right="39"/>
              <w:spacing w:after="0" w:line="126" w:lineRule="exact"/>
              <w:rPr>
                <w:sz w:val="20"/>
                <w:szCs w:val="20"/>
                <w:color w:val="auto"/>
              </w:rPr>
            </w:pPr>
            <w:r>
              <w:rPr>
                <w:rFonts w:ascii="Arial" w:cs="Arial" w:eastAsia="Arial" w:hAnsi="Arial"/>
                <w:sz w:val="12"/>
                <w:szCs w:val="12"/>
                <w:b w:val="1"/>
                <w:bCs w:val="1"/>
                <w:color w:val="auto"/>
                <w:w w:val="92"/>
              </w:rPr>
              <w:t>Price Per</w:t>
            </w: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8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89"/>
              </w:rPr>
              <w:t>December 31,</w:t>
            </w:r>
          </w:p>
        </w:tc>
        <w:tc>
          <w:tcPr>
            <w:tcW w:w="800" w:type="dxa"/>
            <w:vAlign w:val="bottom"/>
            <w:gridSpan w:val="2"/>
            <w:vMerge w:val="continue"/>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w w:val="98"/>
              </w:rPr>
              <w:t>Exercised</w:t>
            </w:r>
          </w:p>
        </w:tc>
        <w:tc>
          <w:tcPr>
            <w:tcW w:w="9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9"/>
              <w:spacing w:after="0"/>
              <w:rPr>
                <w:sz w:val="20"/>
                <w:szCs w:val="20"/>
                <w:color w:val="auto"/>
              </w:rPr>
            </w:pPr>
            <w:r>
              <w:rPr>
                <w:rFonts w:ascii="Arial" w:cs="Arial" w:eastAsia="Arial" w:hAnsi="Arial"/>
                <w:sz w:val="12"/>
                <w:szCs w:val="12"/>
                <w:b w:val="1"/>
                <w:bCs w:val="1"/>
                <w:color w:val="auto"/>
                <w:w w:val="89"/>
              </w:rPr>
              <w:t>Share</w:t>
            </w:r>
          </w:p>
        </w:tc>
        <w:tc>
          <w:tcPr>
            <w:tcW w:w="14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Date</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89"/>
              </w:rPr>
              <w:t>2024</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Issuance</w:t>
            </w:r>
          </w:p>
        </w:tc>
        <w:tc>
          <w:tcPr>
            <w:tcW w:w="820" w:type="dxa"/>
            <w:vAlign w:val="bottom"/>
            <w:gridSpan w:val="2"/>
            <w:vMerge w:val="continue"/>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89"/>
              </w:rPr>
              <w:t>2025</w:t>
            </w:r>
          </w:p>
        </w:tc>
        <w:tc>
          <w:tcPr>
            <w:tcW w:w="0" w:type="dxa"/>
            <w:vAlign w:val="bottom"/>
          </w:tcPr>
          <w:p>
            <w:pPr>
              <w:spacing w:after="0"/>
              <w:rPr>
                <w:sz w:val="1"/>
                <w:szCs w:val="1"/>
                <w:color w:val="auto"/>
              </w:rPr>
            </w:pPr>
          </w:p>
        </w:tc>
      </w:tr>
      <w:tr>
        <w:trPr>
          <w:trHeight w:val="94"/>
        </w:trPr>
        <w:tc>
          <w:tcPr>
            <w:tcW w:w="3880" w:type="dxa"/>
            <w:vAlign w:val="bottom"/>
            <w:tcBorders>
              <w:top w:val="single" w:sz="8" w:color="D2EEF5"/>
            </w:tcBorders>
            <w:shd w:val="clear" w:color="auto" w:fill="D2EEF5"/>
          </w:tcPr>
          <w:p>
            <w:pPr>
              <w:spacing w:after="0" w:line="94" w:lineRule="exact"/>
              <w:rPr>
                <w:sz w:val="20"/>
                <w:szCs w:val="20"/>
                <w:color w:val="auto"/>
              </w:rPr>
            </w:pPr>
            <w:r>
              <w:rPr>
                <w:rFonts w:ascii="Arial" w:cs="Arial" w:eastAsia="Arial" w:hAnsi="Arial"/>
                <w:sz w:val="10"/>
                <w:szCs w:val="10"/>
                <w:color w:val="auto"/>
              </w:rPr>
              <w:t>Private placement warrants</w:t>
            </w:r>
          </w:p>
        </w:tc>
        <w:tc>
          <w:tcPr>
            <w:tcW w:w="1000" w:type="dxa"/>
            <w:vAlign w:val="bottom"/>
            <w:tcBorders>
              <w:top w:val="single" w:sz="8" w:color="auto"/>
            </w:tcBorders>
            <w:shd w:val="clear" w:color="auto" w:fill="D2EEF5"/>
          </w:tcPr>
          <w:p>
            <w:pPr>
              <w:spacing w:after="0"/>
              <w:rPr>
                <w:sz w:val="8"/>
                <w:szCs w:val="8"/>
                <w:color w:val="auto"/>
              </w:rPr>
            </w:pPr>
          </w:p>
        </w:tc>
        <w:tc>
          <w:tcPr>
            <w:tcW w:w="140" w:type="dxa"/>
            <w:vAlign w:val="bottom"/>
            <w:tcBorders>
              <w:top w:val="single" w:sz="8" w:color="D2EEF5"/>
            </w:tcBorders>
            <w:shd w:val="clear" w:color="auto" w:fill="D2EEF5"/>
          </w:tcPr>
          <w:p>
            <w:pPr>
              <w:spacing w:after="0"/>
              <w:rPr>
                <w:sz w:val="8"/>
                <w:szCs w:val="8"/>
                <w:color w:val="auto"/>
              </w:rPr>
            </w:pPr>
          </w:p>
        </w:tc>
        <w:tc>
          <w:tcPr>
            <w:tcW w:w="100" w:type="dxa"/>
            <w:vAlign w:val="bottom"/>
            <w:tcBorders>
              <w:top w:val="single" w:sz="8" w:color="auto"/>
            </w:tcBorders>
            <w:shd w:val="clear" w:color="auto" w:fill="D2EEF5"/>
          </w:tcPr>
          <w:p>
            <w:pPr>
              <w:spacing w:after="0"/>
              <w:rPr>
                <w:sz w:val="8"/>
                <w:szCs w:val="8"/>
                <w:color w:val="auto"/>
              </w:rPr>
            </w:pPr>
          </w:p>
        </w:tc>
        <w:tc>
          <w:tcPr>
            <w:tcW w:w="620" w:type="dxa"/>
            <w:vAlign w:val="bottom"/>
            <w:tcBorders>
              <w:top w:val="single" w:sz="8" w:color="auto"/>
            </w:tcBorders>
            <w:shd w:val="clear" w:color="auto" w:fill="D2EEF5"/>
          </w:tcPr>
          <w:p>
            <w:pPr>
              <w:spacing w:after="0"/>
              <w:rPr>
                <w:sz w:val="8"/>
                <w:szCs w:val="8"/>
                <w:color w:val="auto"/>
              </w:rPr>
            </w:pPr>
          </w:p>
        </w:tc>
        <w:tc>
          <w:tcPr>
            <w:tcW w:w="140" w:type="dxa"/>
            <w:vAlign w:val="bottom"/>
            <w:tcBorders>
              <w:top w:val="single" w:sz="8" w:color="D2EEF5"/>
            </w:tcBorders>
            <w:shd w:val="clear" w:color="auto" w:fill="D2EEF5"/>
          </w:tcPr>
          <w:p>
            <w:pPr>
              <w:spacing w:after="0"/>
              <w:rPr>
                <w:sz w:val="8"/>
                <w:szCs w:val="8"/>
                <w:color w:val="auto"/>
              </w:rPr>
            </w:pPr>
          </w:p>
        </w:tc>
        <w:tc>
          <w:tcPr>
            <w:tcW w:w="1000" w:type="dxa"/>
            <w:vAlign w:val="bottom"/>
            <w:tcBorders>
              <w:top w:val="single" w:sz="8" w:color="auto"/>
            </w:tcBorders>
            <w:shd w:val="clear" w:color="auto" w:fill="D2EEF5"/>
          </w:tcPr>
          <w:p>
            <w:pPr>
              <w:jc w:val="center"/>
              <w:spacing w:after="0" w:line="94" w:lineRule="exact"/>
              <w:rPr>
                <w:sz w:val="20"/>
                <w:szCs w:val="20"/>
                <w:color w:val="auto"/>
              </w:rPr>
            </w:pPr>
            <w:r>
              <w:rPr>
                <w:rFonts w:ascii="Arial" w:cs="Arial" w:eastAsia="Arial" w:hAnsi="Arial"/>
                <w:sz w:val="10"/>
                <w:szCs w:val="10"/>
                <w:color w:val="auto"/>
              </w:rPr>
              <w:t>5 years from</w:t>
            </w:r>
          </w:p>
        </w:tc>
        <w:tc>
          <w:tcPr>
            <w:tcW w:w="140" w:type="dxa"/>
            <w:vAlign w:val="bottom"/>
            <w:tcBorders>
              <w:top w:val="single" w:sz="8" w:color="D2EEF5"/>
            </w:tcBorders>
            <w:shd w:val="clear" w:color="auto" w:fill="D2EEF5"/>
          </w:tcPr>
          <w:p>
            <w:pPr>
              <w:spacing w:after="0"/>
              <w:rPr>
                <w:sz w:val="8"/>
                <w:szCs w:val="8"/>
                <w:color w:val="auto"/>
              </w:rPr>
            </w:pPr>
          </w:p>
        </w:tc>
        <w:tc>
          <w:tcPr>
            <w:tcW w:w="940" w:type="dxa"/>
            <w:vAlign w:val="bottom"/>
            <w:tcBorders>
              <w:top w:val="single" w:sz="8" w:color="auto"/>
            </w:tcBorders>
            <w:shd w:val="clear" w:color="auto" w:fill="D2EEF5"/>
          </w:tcPr>
          <w:p>
            <w:pPr>
              <w:spacing w:after="0"/>
              <w:rPr>
                <w:sz w:val="8"/>
                <w:szCs w:val="8"/>
                <w:color w:val="auto"/>
              </w:rPr>
            </w:pPr>
          </w:p>
        </w:tc>
        <w:tc>
          <w:tcPr>
            <w:tcW w:w="140" w:type="dxa"/>
            <w:vAlign w:val="bottom"/>
            <w:tcBorders>
              <w:top w:val="single" w:sz="8" w:color="D2EEF5"/>
            </w:tcBorders>
            <w:shd w:val="clear" w:color="auto" w:fill="D2EEF5"/>
          </w:tcPr>
          <w:p>
            <w:pPr>
              <w:spacing w:after="0"/>
              <w:rPr>
                <w:sz w:val="8"/>
                <w:szCs w:val="8"/>
                <w:color w:val="auto"/>
              </w:rPr>
            </w:pPr>
          </w:p>
        </w:tc>
        <w:tc>
          <w:tcPr>
            <w:tcW w:w="660" w:type="dxa"/>
            <w:vAlign w:val="bottom"/>
            <w:tcBorders>
              <w:top w:val="single" w:sz="8" w:color="auto"/>
            </w:tcBorders>
            <w:shd w:val="clear" w:color="auto" w:fill="D2EEF5"/>
          </w:tcPr>
          <w:p>
            <w:pPr>
              <w:spacing w:after="0"/>
              <w:rPr>
                <w:sz w:val="8"/>
                <w:szCs w:val="8"/>
                <w:color w:val="auto"/>
              </w:rPr>
            </w:pPr>
          </w:p>
        </w:tc>
        <w:tc>
          <w:tcPr>
            <w:tcW w:w="140" w:type="dxa"/>
            <w:vAlign w:val="bottom"/>
            <w:tcBorders>
              <w:top w:val="single" w:sz="8" w:color="D2EEF5"/>
            </w:tcBorders>
            <w:shd w:val="clear" w:color="auto" w:fill="D2EEF5"/>
          </w:tcPr>
          <w:p>
            <w:pPr>
              <w:spacing w:after="0"/>
              <w:rPr>
                <w:sz w:val="8"/>
                <w:szCs w:val="8"/>
                <w:color w:val="auto"/>
              </w:rPr>
            </w:pPr>
          </w:p>
        </w:tc>
        <w:tc>
          <w:tcPr>
            <w:tcW w:w="660" w:type="dxa"/>
            <w:vAlign w:val="bottom"/>
            <w:tcBorders>
              <w:top w:val="single" w:sz="8" w:color="auto"/>
            </w:tcBorders>
            <w:shd w:val="clear" w:color="auto" w:fill="D2EEF5"/>
          </w:tcPr>
          <w:p>
            <w:pPr>
              <w:spacing w:after="0"/>
              <w:rPr>
                <w:sz w:val="8"/>
                <w:szCs w:val="8"/>
                <w:color w:val="auto"/>
              </w:rPr>
            </w:pPr>
          </w:p>
        </w:tc>
        <w:tc>
          <w:tcPr>
            <w:tcW w:w="160" w:type="dxa"/>
            <w:vAlign w:val="bottom"/>
            <w:tcBorders>
              <w:top w:val="single" w:sz="8" w:color="D2EEF5"/>
            </w:tcBorders>
            <w:shd w:val="clear" w:color="auto" w:fill="D2EEF5"/>
          </w:tcPr>
          <w:p>
            <w:pPr>
              <w:spacing w:after="0"/>
              <w:rPr>
                <w:sz w:val="8"/>
                <w:szCs w:val="8"/>
                <w:color w:val="auto"/>
              </w:rPr>
            </w:pPr>
          </w:p>
        </w:tc>
        <w:tc>
          <w:tcPr>
            <w:tcW w:w="920" w:type="dxa"/>
            <w:vAlign w:val="bottom"/>
            <w:tcBorders>
              <w:top w:val="single" w:sz="8" w:color="auto"/>
            </w:tcBorders>
            <w:shd w:val="clear" w:color="auto" w:fill="D2EEF5"/>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880" w:type="dxa"/>
            <w:vAlign w:val="bottom"/>
            <w:shd w:val="clear" w:color="auto" w:fill="D2EEF5"/>
          </w:tcPr>
          <w:p>
            <w:pPr>
              <w:spacing w:after="0"/>
              <w:rPr>
                <w:sz w:val="11"/>
                <w:szCs w:val="11"/>
                <w:color w:val="auto"/>
              </w:rPr>
            </w:pPr>
          </w:p>
        </w:tc>
        <w:tc>
          <w:tcPr>
            <w:tcW w:w="1140" w:type="dxa"/>
            <w:vAlign w:val="bottom"/>
            <w:gridSpan w:val="2"/>
            <w:vMerge w:val="restart"/>
            <w:shd w:val="clear" w:color="auto" w:fill="D2EEF5"/>
          </w:tcPr>
          <w:p>
            <w:pPr>
              <w:jc w:val="center"/>
              <w:ind w:right="160"/>
              <w:spacing w:after="0"/>
              <w:rPr>
                <w:sz w:val="20"/>
                <w:szCs w:val="20"/>
                <w:color w:val="auto"/>
              </w:rPr>
            </w:pPr>
            <w:r>
              <w:rPr>
                <w:rFonts w:ascii="Arial" w:cs="Arial" w:eastAsia="Arial" w:hAnsi="Arial"/>
                <w:sz w:val="12"/>
                <w:szCs w:val="12"/>
                <w:color w:val="auto"/>
                <w:w w:val="91"/>
              </w:rPr>
              <w:t>December 2024</w:t>
            </w:r>
          </w:p>
        </w:tc>
        <w:tc>
          <w:tcPr>
            <w:tcW w:w="100" w:type="dxa"/>
            <w:vAlign w:val="bottom"/>
            <w:vMerge w:val="restart"/>
            <w:shd w:val="clear" w:color="auto" w:fill="D2EEF5"/>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4.00</w:t>
            </w:r>
          </w:p>
        </w:tc>
        <w:tc>
          <w:tcPr>
            <w:tcW w:w="140" w:type="dxa"/>
            <w:vAlign w:val="bottom"/>
            <w:shd w:val="clear" w:color="auto" w:fill="D2EEF5"/>
          </w:tcPr>
          <w:p>
            <w:pPr>
              <w:spacing w:after="0"/>
              <w:rPr>
                <w:sz w:val="11"/>
                <w:szCs w:val="11"/>
                <w:color w:val="auto"/>
              </w:rPr>
            </w:pPr>
          </w:p>
        </w:tc>
        <w:tc>
          <w:tcPr>
            <w:tcW w:w="1140" w:type="dxa"/>
            <w:vAlign w:val="bottom"/>
            <w:gridSpan w:val="2"/>
            <w:shd w:val="clear" w:color="auto" w:fill="D2EEF5"/>
          </w:tcPr>
          <w:p>
            <w:pPr>
              <w:jc w:val="center"/>
              <w:ind w:right="140"/>
              <w:spacing w:after="0" w:line="127" w:lineRule="exact"/>
              <w:rPr>
                <w:sz w:val="20"/>
                <w:szCs w:val="20"/>
                <w:color w:val="auto"/>
              </w:rPr>
            </w:pPr>
            <w:r>
              <w:rPr>
                <w:rFonts w:ascii="Arial" w:cs="Arial" w:eastAsia="Arial" w:hAnsi="Arial"/>
                <w:sz w:val="12"/>
                <w:szCs w:val="12"/>
                <w:color w:val="auto"/>
                <w:w w:val="88"/>
              </w:rPr>
              <w:t>shareholder</w:t>
            </w:r>
          </w:p>
        </w:tc>
        <w:tc>
          <w:tcPr>
            <w:tcW w:w="94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5,031,250</w:t>
            </w:r>
          </w:p>
        </w:tc>
        <w:tc>
          <w:tcPr>
            <w:tcW w:w="140" w:type="dxa"/>
            <w:vAlign w:val="bottom"/>
            <w:shd w:val="clear" w:color="auto" w:fill="D2EEF5"/>
          </w:tcPr>
          <w:p>
            <w:pPr>
              <w:spacing w:after="0"/>
              <w:rPr>
                <w:sz w:val="11"/>
                <w:szCs w:val="11"/>
                <w:color w:val="auto"/>
              </w:rPr>
            </w:pPr>
          </w:p>
        </w:tc>
        <w:tc>
          <w:tcPr>
            <w:tcW w:w="800" w:type="dxa"/>
            <w:vAlign w:val="bottom"/>
            <w:gridSpan w:val="2"/>
            <w:vMerge w:val="restart"/>
            <w:shd w:val="clear" w:color="auto" w:fill="D2EEF5"/>
          </w:tcPr>
          <w:p>
            <w:pPr>
              <w:ind w:left="480"/>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shd w:val="clear" w:color="auto" w:fill="D2EEF5"/>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vMerge w:val="restart"/>
            <w:shd w:val="clear" w:color="auto" w:fill="D2EEF5"/>
          </w:tcPr>
          <w:p>
            <w:pPr>
              <w:jc w:val="right"/>
              <w:spacing w:after="0"/>
              <w:rPr>
                <w:sz w:val="20"/>
                <w:szCs w:val="20"/>
                <w:color w:val="auto"/>
              </w:rPr>
            </w:pPr>
            <w:r>
              <w:rPr>
                <w:rFonts w:ascii="Arial" w:cs="Arial" w:eastAsia="Arial" w:hAnsi="Arial"/>
                <w:sz w:val="12"/>
                <w:szCs w:val="12"/>
                <w:color w:val="auto"/>
              </w:rPr>
              <w:t>5,031,250</w:t>
            </w:r>
          </w:p>
        </w:tc>
        <w:tc>
          <w:tcPr>
            <w:tcW w:w="0" w:type="dxa"/>
            <w:vAlign w:val="bottom"/>
          </w:tcPr>
          <w:p>
            <w:pPr>
              <w:spacing w:after="0"/>
              <w:rPr>
                <w:sz w:val="1"/>
                <w:szCs w:val="1"/>
                <w:color w:val="auto"/>
              </w:rPr>
            </w:pPr>
          </w:p>
        </w:tc>
      </w:tr>
      <w:tr>
        <w:trPr>
          <w:trHeight w:val="148"/>
        </w:trPr>
        <w:tc>
          <w:tcPr>
            <w:tcW w:w="3880" w:type="dxa"/>
            <w:vAlign w:val="bottom"/>
            <w:shd w:val="clear" w:color="auto" w:fill="D2EEF5"/>
          </w:tcPr>
          <w:p>
            <w:pPr>
              <w:spacing w:after="0"/>
              <w:rPr>
                <w:sz w:val="12"/>
                <w:szCs w:val="12"/>
                <w:color w:val="auto"/>
              </w:rPr>
            </w:pPr>
          </w:p>
        </w:tc>
        <w:tc>
          <w:tcPr>
            <w:tcW w:w="1140" w:type="dxa"/>
            <w:vAlign w:val="bottom"/>
            <w:gridSpan w:val="2"/>
            <w:vMerge w:val="continue"/>
            <w:shd w:val="clear" w:color="auto" w:fill="D2EEF5"/>
          </w:tcPr>
          <w:p>
            <w:pPr>
              <w:spacing w:after="0"/>
              <w:rPr>
                <w:sz w:val="12"/>
                <w:szCs w:val="12"/>
                <w:color w:val="auto"/>
              </w:rPr>
            </w:pPr>
          </w:p>
        </w:tc>
        <w:tc>
          <w:tcPr>
            <w:tcW w:w="100" w:type="dxa"/>
            <w:vAlign w:val="bottom"/>
            <w:vMerge w:val="continue"/>
            <w:shd w:val="clear" w:color="auto" w:fill="D2EEF5"/>
          </w:tcPr>
          <w:p>
            <w:pPr>
              <w:spacing w:after="0"/>
              <w:rPr>
                <w:sz w:val="12"/>
                <w:szCs w:val="12"/>
                <w:color w:val="auto"/>
              </w:rPr>
            </w:pPr>
          </w:p>
        </w:tc>
        <w:tc>
          <w:tcPr>
            <w:tcW w:w="620" w:type="dxa"/>
            <w:vAlign w:val="bottom"/>
            <w:vMerge w:val="continue"/>
            <w:shd w:val="clear" w:color="auto" w:fill="D2EEF5"/>
          </w:tcPr>
          <w:p>
            <w:pPr>
              <w:spacing w:after="0"/>
              <w:rPr>
                <w:sz w:val="12"/>
                <w:szCs w:val="12"/>
                <w:color w:val="auto"/>
              </w:rPr>
            </w:pPr>
          </w:p>
        </w:tc>
        <w:tc>
          <w:tcPr>
            <w:tcW w:w="140" w:type="dxa"/>
            <w:vAlign w:val="bottom"/>
            <w:shd w:val="clear" w:color="auto" w:fill="D2EEF5"/>
          </w:tcPr>
          <w:p>
            <w:pPr>
              <w:spacing w:after="0"/>
              <w:rPr>
                <w:sz w:val="12"/>
                <w:szCs w:val="12"/>
                <w:color w:val="auto"/>
              </w:rPr>
            </w:pPr>
          </w:p>
        </w:tc>
        <w:tc>
          <w:tcPr>
            <w:tcW w:w="1140" w:type="dxa"/>
            <w:vAlign w:val="bottom"/>
            <w:gridSpan w:val="2"/>
            <w:shd w:val="clear" w:color="auto" w:fill="D2EEF5"/>
          </w:tcPr>
          <w:p>
            <w:pPr>
              <w:jc w:val="center"/>
              <w:ind w:right="120"/>
              <w:spacing w:after="0"/>
              <w:rPr>
                <w:sz w:val="20"/>
                <w:szCs w:val="20"/>
                <w:color w:val="auto"/>
              </w:rPr>
            </w:pPr>
            <w:r>
              <w:rPr>
                <w:rFonts w:ascii="Arial" w:cs="Arial" w:eastAsia="Arial" w:hAnsi="Arial"/>
                <w:sz w:val="12"/>
                <w:szCs w:val="12"/>
                <w:color w:val="auto"/>
                <w:w w:val="91"/>
              </w:rPr>
              <w:t>approval</w:t>
            </w:r>
          </w:p>
        </w:tc>
        <w:tc>
          <w:tcPr>
            <w:tcW w:w="940" w:type="dxa"/>
            <w:vAlign w:val="bottom"/>
            <w:vMerge w:val="continue"/>
            <w:shd w:val="clear" w:color="auto" w:fill="D2EEF5"/>
          </w:tcPr>
          <w:p>
            <w:pPr>
              <w:spacing w:after="0"/>
              <w:rPr>
                <w:sz w:val="12"/>
                <w:szCs w:val="12"/>
                <w:color w:val="auto"/>
              </w:rPr>
            </w:pPr>
          </w:p>
        </w:tc>
        <w:tc>
          <w:tcPr>
            <w:tcW w:w="140" w:type="dxa"/>
            <w:vAlign w:val="bottom"/>
            <w:shd w:val="clear" w:color="auto" w:fill="D2EEF5"/>
          </w:tcPr>
          <w:p>
            <w:pPr>
              <w:spacing w:after="0"/>
              <w:rPr>
                <w:sz w:val="12"/>
                <w:szCs w:val="12"/>
                <w:color w:val="auto"/>
              </w:rPr>
            </w:pPr>
          </w:p>
        </w:tc>
        <w:tc>
          <w:tcPr>
            <w:tcW w:w="800" w:type="dxa"/>
            <w:vAlign w:val="bottom"/>
            <w:gridSpan w:val="2"/>
            <w:vMerge w:val="continue"/>
            <w:shd w:val="clear" w:color="auto" w:fill="D2EEF5"/>
          </w:tcPr>
          <w:p>
            <w:pPr>
              <w:spacing w:after="0"/>
              <w:rPr>
                <w:sz w:val="12"/>
                <w:szCs w:val="12"/>
                <w:color w:val="auto"/>
              </w:rPr>
            </w:pPr>
          </w:p>
        </w:tc>
        <w:tc>
          <w:tcPr>
            <w:tcW w:w="820" w:type="dxa"/>
            <w:vAlign w:val="bottom"/>
            <w:gridSpan w:val="2"/>
            <w:vMerge w:val="continue"/>
            <w:shd w:val="clear" w:color="auto" w:fill="D2EEF5"/>
          </w:tcPr>
          <w:p>
            <w:pPr>
              <w:spacing w:after="0"/>
              <w:rPr>
                <w:sz w:val="12"/>
                <w:szCs w:val="12"/>
                <w:color w:val="auto"/>
              </w:rPr>
            </w:pPr>
          </w:p>
        </w:tc>
        <w:tc>
          <w:tcPr>
            <w:tcW w:w="920" w:type="dxa"/>
            <w:vAlign w:val="bottom"/>
            <w:vMerge w:val="continue"/>
            <w:shd w:val="clear" w:color="auto" w:fill="D2EEF5"/>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880" w:type="dxa"/>
            <w:vAlign w:val="bottom"/>
          </w:tcPr>
          <w:p>
            <w:pPr>
              <w:spacing w:after="0" w:line="103" w:lineRule="exact"/>
              <w:rPr>
                <w:sz w:val="20"/>
                <w:szCs w:val="20"/>
                <w:color w:val="auto"/>
              </w:rPr>
            </w:pPr>
            <w:r>
              <w:rPr>
                <w:rFonts w:ascii="Arial" w:cs="Arial" w:eastAsia="Arial" w:hAnsi="Arial"/>
                <w:sz w:val="11"/>
                <w:szCs w:val="11"/>
                <w:color w:val="auto"/>
              </w:rPr>
              <w:t>Pre-funded warrants</w:t>
            </w: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120"/>
              <w:spacing w:after="0" w:line="103" w:lineRule="exact"/>
              <w:rPr>
                <w:sz w:val="20"/>
                <w:szCs w:val="20"/>
                <w:color w:val="auto"/>
              </w:rPr>
            </w:pPr>
            <w:r>
              <w:rPr>
                <w:rFonts w:ascii="Arial" w:cs="Arial" w:eastAsia="Arial" w:hAnsi="Arial"/>
                <w:sz w:val="11"/>
                <w:szCs w:val="11"/>
                <w:color w:val="auto"/>
              </w:rPr>
              <w:t>5 years from</w:t>
            </w: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880" w:type="dxa"/>
            <w:vAlign w:val="bottom"/>
          </w:tcPr>
          <w:p>
            <w:pPr>
              <w:spacing w:after="0"/>
              <w:rPr>
                <w:sz w:val="10"/>
                <w:szCs w:val="10"/>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1"/>
              </w:rPr>
              <w:t>December 2024</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0.001</w:t>
            </w:r>
          </w:p>
        </w:tc>
        <w:tc>
          <w:tcPr>
            <w:tcW w:w="140" w:type="dxa"/>
            <w:vAlign w:val="bottom"/>
          </w:tcPr>
          <w:p>
            <w:pPr>
              <w:spacing w:after="0"/>
              <w:rPr>
                <w:sz w:val="10"/>
                <w:szCs w:val="10"/>
                <w:color w:val="auto"/>
              </w:rPr>
            </w:pPr>
          </w:p>
        </w:tc>
        <w:tc>
          <w:tcPr>
            <w:tcW w:w="1140" w:type="dxa"/>
            <w:vAlign w:val="bottom"/>
            <w:gridSpan w:val="2"/>
          </w:tcPr>
          <w:p>
            <w:pPr>
              <w:jc w:val="center"/>
              <w:ind w:right="140"/>
              <w:spacing w:after="0" w:line="126" w:lineRule="exact"/>
              <w:rPr>
                <w:sz w:val="20"/>
                <w:szCs w:val="20"/>
                <w:color w:val="auto"/>
              </w:rPr>
            </w:pPr>
            <w:r>
              <w:rPr>
                <w:rFonts w:ascii="Arial" w:cs="Arial" w:eastAsia="Arial" w:hAnsi="Arial"/>
                <w:sz w:val="12"/>
                <w:szCs w:val="12"/>
                <w:color w:val="auto"/>
                <w:w w:val="88"/>
              </w:rPr>
              <w:t>shareholder</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3,247,445</w:t>
            </w:r>
          </w:p>
        </w:tc>
        <w:tc>
          <w:tcPr>
            <w:tcW w:w="140" w:type="dxa"/>
            <w:vAlign w:val="bottom"/>
          </w:tcPr>
          <w:p>
            <w:pPr>
              <w:spacing w:after="0"/>
              <w:rPr>
                <w:sz w:val="10"/>
                <w:szCs w:val="10"/>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(605,830)</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2,641,615</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approval</w:t>
            </w: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80" w:type="dxa"/>
            <w:vAlign w:val="bottom"/>
            <w:tcBorders>
              <w:top w:val="single" w:sz="8" w:color="D2EEF5"/>
              <w:bottom w:val="single" w:sz="8" w:color="D2EEF5"/>
            </w:tcBorders>
            <w:shd w:val="clear" w:color="auto" w:fill="D2EEF5"/>
          </w:tcPr>
          <w:p>
            <w:pPr>
              <w:spacing w:after="0"/>
              <w:rPr>
                <w:sz w:val="10"/>
                <w:szCs w:val="10"/>
                <w:color w:val="auto"/>
              </w:rPr>
            </w:pPr>
          </w:p>
        </w:tc>
        <w:tc>
          <w:tcPr>
            <w:tcW w:w="1000" w:type="dxa"/>
            <w:vAlign w:val="bottom"/>
            <w:tcBorders>
              <w:top w:val="single" w:sz="8" w:color="D2EEF5"/>
              <w:bottom w:val="single" w:sz="8" w:color="D2EEF5"/>
            </w:tcBorders>
            <w:shd w:val="clear" w:color="auto" w:fill="D2EEF5"/>
          </w:tcPr>
          <w:p>
            <w:pPr>
              <w:spacing w:after="0"/>
              <w:rPr>
                <w:sz w:val="10"/>
                <w:szCs w:val="10"/>
                <w:color w:val="auto"/>
              </w:rPr>
            </w:pPr>
          </w:p>
        </w:tc>
        <w:tc>
          <w:tcPr>
            <w:tcW w:w="140" w:type="dxa"/>
            <w:vAlign w:val="bottom"/>
            <w:tcBorders>
              <w:top w:val="single" w:sz="8" w:color="D2EEF5"/>
              <w:bottom w:val="single" w:sz="8" w:color="D2EEF5"/>
            </w:tcBorders>
            <w:shd w:val="clear" w:color="auto" w:fill="D2EEF5"/>
          </w:tcPr>
          <w:p>
            <w:pPr>
              <w:spacing w:after="0"/>
              <w:rPr>
                <w:sz w:val="10"/>
                <w:szCs w:val="10"/>
                <w:color w:val="auto"/>
              </w:rPr>
            </w:pPr>
          </w:p>
        </w:tc>
        <w:tc>
          <w:tcPr>
            <w:tcW w:w="100" w:type="dxa"/>
            <w:vAlign w:val="bottom"/>
            <w:tcBorders>
              <w:top w:val="single" w:sz="8" w:color="D2EEF5"/>
              <w:bottom w:val="single" w:sz="8" w:color="D2EEF5"/>
            </w:tcBorders>
            <w:shd w:val="clear" w:color="auto" w:fill="D2EEF5"/>
          </w:tcPr>
          <w:p>
            <w:pPr>
              <w:spacing w:after="0"/>
              <w:rPr>
                <w:sz w:val="10"/>
                <w:szCs w:val="10"/>
                <w:color w:val="auto"/>
              </w:rPr>
            </w:pPr>
          </w:p>
        </w:tc>
        <w:tc>
          <w:tcPr>
            <w:tcW w:w="620" w:type="dxa"/>
            <w:vAlign w:val="bottom"/>
            <w:tcBorders>
              <w:top w:val="single" w:sz="8" w:color="D2EEF5"/>
              <w:bottom w:val="single" w:sz="8" w:color="D2EEF5"/>
            </w:tcBorders>
            <w:shd w:val="clear" w:color="auto" w:fill="D2EEF5"/>
          </w:tcPr>
          <w:p>
            <w:pPr>
              <w:spacing w:after="0"/>
              <w:rPr>
                <w:sz w:val="10"/>
                <w:szCs w:val="10"/>
                <w:color w:val="auto"/>
              </w:rPr>
            </w:pPr>
          </w:p>
        </w:tc>
        <w:tc>
          <w:tcPr>
            <w:tcW w:w="140" w:type="dxa"/>
            <w:vAlign w:val="bottom"/>
            <w:tcBorders>
              <w:top w:val="single" w:sz="8" w:color="D2EEF5"/>
              <w:bottom w:val="single" w:sz="8" w:color="D2EEF5"/>
            </w:tcBorders>
            <w:shd w:val="clear" w:color="auto" w:fill="D2EEF5"/>
          </w:tcPr>
          <w:p>
            <w:pPr>
              <w:spacing w:after="0"/>
              <w:rPr>
                <w:sz w:val="10"/>
                <w:szCs w:val="10"/>
                <w:color w:val="auto"/>
              </w:rPr>
            </w:pPr>
          </w:p>
        </w:tc>
        <w:tc>
          <w:tcPr>
            <w:tcW w:w="1000" w:type="dxa"/>
            <w:vAlign w:val="bottom"/>
            <w:tcBorders>
              <w:top w:val="single" w:sz="8" w:color="D2EEF5"/>
              <w:bottom w:val="single" w:sz="8" w:color="D2EEF5"/>
            </w:tcBorders>
            <w:shd w:val="clear" w:color="auto" w:fill="D2EEF5"/>
          </w:tcPr>
          <w:p>
            <w:pPr>
              <w:spacing w:after="0"/>
              <w:rPr>
                <w:sz w:val="10"/>
                <w:szCs w:val="10"/>
                <w:color w:val="auto"/>
              </w:rPr>
            </w:pPr>
          </w:p>
        </w:tc>
        <w:tc>
          <w:tcPr>
            <w:tcW w:w="140" w:type="dxa"/>
            <w:vAlign w:val="bottom"/>
            <w:tcBorders>
              <w:top w:val="single" w:sz="8" w:color="D2EEF5"/>
              <w:bottom w:val="single" w:sz="8" w:color="D2EEF5"/>
            </w:tcBorders>
            <w:shd w:val="clear" w:color="auto" w:fill="D2EEF5"/>
          </w:tcPr>
          <w:p>
            <w:pPr>
              <w:spacing w:after="0"/>
              <w:rPr>
                <w:sz w:val="10"/>
                <w:szCs w:val="10"/>
                <w:color w:val="auto"/>
              </w:rPr>
            </w:pPr>
          </w:p>
        </w:tc>
        <w:tc>
          <w:tcPr>
            <w:tcW w:w="94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color w:val="auto"/>
              </w:rPr>
              <w:t>8,278,695</w:t>
            </w:r>
          </w:p>
        </w:tc>
        <w:tc>
          <w:tcPr>
            <w:tcW w:w="140" w:type="dxa"/>
            <w:vAlign w:val="bottom"/>
            <w:tcBorders>
              <w:top w:val="single" w:sz="8" w:color="D2EEF5"/>
              <w:bottom w:val="single" w:sz="8" w:color="D2EEF5"/>
            </w:tcBorders>
            <w:shd w:val="clear" w:color="auto" w:fill="D2EEF5"/>
          </w:tcPr>
          <w:p>
            <w:pPr>
              <w:spacing w:after="0"/>
              <w:rPr>
                <w:sz w:val="10"/>
                <w:szCs w:val="10"/>
                <w:color w:val="auto"/>
              </w:rPr>
            </w:pPr>
          </w:p>
        </w:tc>
        <w:tc>
          <w:tcPr>
            <w:tcW w:w="660" w:type="dxa"/>
            <w:vAlign w:val="bottom"/>
            <w:tcBorders>
              <w:top w:val="single" w:sz="8" w:color="auto"/>
              <w:bottom w:val="single" w:sz="8" w:color="auto"/>
            </w:tcBorders>
            <w:shd w:val="clear" w:color="auto" w:fill="D2EEF5"/>
          </w:tcPr>
          <w:p>
            <w:pPr>
              <w:ind w:left="480"/>
              <w:spacing w:after="0" w:line="117"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D2EEF5"/>
              <w:bottom w:val="single" w:sz="8" w:color="D2EEF5"/>
            </w:tcBorders>
            <w:shd w:val="clear" w:color="auto" w:fill="D2EEF5"/>
          </w:tcPr>
          <w:p>
            <w:pPr>
              <w:spacing w:after="0"/>
              <w:rPr>
                <w:sz w:val="10"/>
                <w:szCs w:val="10"/>
                <w:color w:val="auto"/>
              </w:rPr>
            </w:pPr>
          </w:p>
        </w:tc>
        <w:tc>
          <w:tcPr>
            <w:tcW w:w="66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color w:val="auto"/>
              </w:rPr>
              <w:t>(605,830)</w:t>
            </w:r>
          </w:p>
        </w:tc>
        <w:tc>
          <w:tcPr>
            <w:tcW w:w="160" w:type="dxa"/>
            <w:vAlign w:val="bottom"/>
            <w:tcBorders>
              <w:top w:val="single" w:sz="8" w:color="D2EEF5"/>
              <w:bottom w:val="single" w:sz="8" w:color="D2EEF5"/>
            </w:tcBorders>
            <w:shd w:val="clear" w:color="auto" w:fill="D2EEF5"/>
          </w:tcPr>
          <w:p>
            <w:pPr>
              <w:spacing w:after="0"/>
              <w:rPr>
                <w:sz w:val="10"/>
                <w:szCs w:val="10"/>
                <w:color w:val="auto"/>
              </w:rPr>
            </w:pPr>
          </w:p>
        </w:tc>
        <w:tc>
          <w:tcPr>
            <w:tcW w:w="920" w:type="dxa"/>
            <w:vAlign w:val="bottom"/>
            <w:tcBorders>
              <w:top w:val="single" w:sz="8" w:color="auto"/>
              <w:bottom w:val="single" w:sz="8" w:color="auto"/>
            </w:tcBorders>
            <w:shd w:val="clear" w:color="auto" w:fill="D2EEF5"/>
          </w:tcPr>
          <w:p>
            <w:pPr>
              <w:jc w:val="right"/>
              <w:spacing w:after="0" w:line="117" w:lineRule="exact"/>
              <w:rPr>
                <w:sz w:val="20"/>
                <w:szCs w:val="20"/>
                <w:color w:val="auto"/>
              </w:rPr>
            </w:pPr>
            <w:r>
              <w:rPr>
                <w:rFonts w:ascii="Arial" w:cs="Arial" w:eastAsia="Arial" w:hAnsi="Arial"/>
                <w:sz w:val="12"/>
                <w:szCs w:val="12"/>
                <w:color w:val="auto"/>
              </w:rPr>
              <w:t>7,672,865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b w:val="1"/>
          <w:bCs w:val="1"/>
          <w:color w:val="auto"/>
        </w:rPr>
        <w:t>NOTE 8:</w:t>
        <w:tab/>
        <w:t>STOCK BASED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Options</w:t>
      </w:r>
    </w:p>
    <w:p>
      <w:pPr>
        <w:spacing w:after="0" w:line="192" w:lineRule="exact"/>
        <w:rPr>
          <w:sz w:val="20"/>
          <w:szCs w:val="20"/>
          <w:color w:val="auto"/>
        </w:rPr>
      </w:pPr>
    </w:p>
    <w:p>
      <w:pPr>
        <w:jc w:val="both"/>
        <w:ind w:firstLine="1"/>
        <w:spacing w:after="0" w:line="260" w:lineRule="auto"/>
        <w:rPr>
          <w:sz w:val="20"/>
          <w:szCs w:val="20"/>
          <w:color w:val="auto"/>
        </w:rPr>
      </w:pPr>
      <w:r>
        <w:rPr>
          <w:rFonts w:ascii="Arial" w:cs="Arial" w:eastAsia="Arial" w:hAnsi="Arial"/>
          <w:sz w:val="15"/>
          <w:szCs w:val="15"/>
          <w:color w:val="auto"/>
        </w:rPr>
        <w:t>On May 19, 2020, the Board adopted the 2020 Equity Incentive Plan (“2020 Equity Incentive Plan”) which replaced the 2014 Omnibus Stock Option Plan. The 2020 Plan was further amended effective May 2022 to increase the number of shares of common stock authorized for issuance under the plan by 850,000 shares. The 2020 Equity Incentive Plan allows for grants of stock options, restricted shares, stock bonuses and other equity-based awards to employees and non-employee directors of the Company. Awards under the 2020 Equity Incentive Plan may be at prices and for terms as determined by the Company’s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Nasdaq Stock Exchange.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Options granted under the 2020 Equity Incentive Plan have a maximum term of ten years from the date of grant and generally vest over four years.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2025 Equity Incentive Awards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On February 12, 2025, pursuant to the Company’s 2020 Equity Incentive Plan, as amended, the compensation committee of the Company’s board of directors approved 50,000 options to purchase the Company’s common stock as equity-based incentive awards to the Company’s Chief Executive Officer and President, Dr. Juan Vera, and 30,000 options to purchase the Company’s common stock as equity-based incentive awards to each Non-Employee Director. Each option award was granted with an exercise price of $1.59 per share, the closing price of the Company’s common stock on the Nasdaq Capital Market on February 12, 2025, with the option award vesting in three annual installments, subject to such Optionee’s continued service on the applicable vesting date.</w:t>
      </w:r>
    </w:p>
    <w:p>
      <w:pPr>
        <w:spacing w:after="0" w:line="14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On October 31, 2025, the board of directors (the “Board”) of the Company appointed Ms. Kathryn Penkus Corzo to the Company’s Board, effective November 1, 2025. In connection with the appointment of Kathryn Penkus Corzo to the Company’s Board and pursuant to the Company’s 2020 Equity Incentive Plan, the Company granted Ms. Corzo 147,611 stock options to purchase shares of the Company’s common stock at an exercise price per share equal to the fair market value per share on the date she was appointed to the Board. The options will vest evenly over thirty-six (36) months and are subject to her continued service as a director.</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ectPr>
          <w:pgSz w:w="11900" w:h="16834" w:orient="portrait"/>
          <w:cols w:equalWidth="0" w:num="1">
            <w:col w:w="10640"/>
          </w:cols>
          <w:pgMar w:left="620" w:top="1440" w:right="634" w:bottom="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1"/>
        <w:spacing w:after="0" w:line="337" w:lineRule="auto"/>
        <w:rPr>
          <w:sz w:val="20"/>
          <w:szCs w:val="20"/>
          <w:color w:val="auto"/>
        </w:rPr>
      </w:pPr>
      <w:r>
        <w:rPr>
          <w:rFonts w:ascii="Arial" w:cs="Arial" w:eastAsia="Arial" w:hAnsi="Arial"/>
          <w:sz w:val="13"/>
          <w:szCs w:val="13"/>
          <w:color w:val="auto"/>
        </w:rPr>
        <w:t>On October 31, 2025, the Compensation Committee and Board approved a discretionary award of 250,000 stock options at an exercise price per share equal to the fair market value per share on the date of the grant (the “CEO Options”) to Dr. Juan Vera under the Company’s 2020 Plan. The CEO Options vest annually over four years beginning on the anniversary of the grant date of the CEO Options and are subject to the terms and conditions of the 2020 Plan and the Company’s form of option award agreement.</w:t>
      </w:r>
    </w:p>
    <w:p>
      <w:pPr>
        <w:spacing w:after="0" w:line="102"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On November 17, 2025, the Compensation Committee of the Board approved additional grant awards to each Non-Employee Director apart from Ms. Corzo. The Company granted each Non-Employee Director a total of 221,741 stock options to purchase shares of the Company’s common stock at an exercise price per share equal to the fair market value per share on the grant date, or $0.9548. The options vest fully in one annual installment, subject to such Optionee’s continued service through the vesting date.</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2025, approximately 0.1 million shares of common stock are available to be issued under the 2020 Equity Incentive Plan.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stock option activity for the years ended December 31, 2025 and December 31, 2024, is as follows:</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 Average</w:t>
            </w: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restart"/>
          </w:tcPr>
          <w:p>
            <w:pPr>
              <w:jc w:val="right"/>
              <w:ind w:right="106"/>
              <w:spacing w:after="0"/>
              <w:rPr>
                <w:sz w:val="20"/>
                <w:szCs w:val="20"/>
                <w:color w:val="auto"/>
              </w:rPr>
            </w:pPr>
            <w:r>
              <w:rPr>
                <w:rFonts w:ascii="Arial" w:cs="Arial" w:eastAsia="Arial" w:hAnsi="Arial"/>
                <w:sz w:val="12"/>
                <w:szCs w:val="12"/>
                <w:b w:val="1"/>
                <w:bCs w:val="1"/>
                <w:color w:val="auto"/>
                <w:w w:val="91"/>
              </w:rPr>
              <w:t>Weighted Average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1"/>
              </w:rPr>
              <w:t>Remaining</w:t>
            </w: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Number of Shares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Total Intrinsic Value</w:t>
            </w:r>
          </w:p>
        </w:tc>
        <w:tc>
          <w:tcPr>
            <w:tcW w:w="12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5"/>
              </w:rPr>
              <w:t>Contractual</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206"/>
              <w:spacing w:after="0"/>
              <w:rPr>
                <w:sz w:val="20"/>
                <w:szCs w:val="20"/>
                <w:color w:val="auto"/>
              </w:rPr>
            </w:pPr>
            <w:r>
              <w:rPr>
                <w:rFonts w:ascii="Arial" w:cs="Arial" w:eastAsia="Arial" w:hAnsi="Arial"/>
                <w:sz w:val="12"/>
                <w:szCs w:val="12"/>
                <w:b w:val="1"/>
                <w:bCs w:val="1"/>
                <w:color w:val="auto"/>
              </w:rPr>
              <w:t>Exercise Price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4"/>
              </w:rPr>
              <w:t>Life (in years)</w:t>
            </w:r>
          </w:p>
        </w:tc>
        <w:tc>
          <w:tcPr>
            <w:tcW w:w="0" w:type="dxa"/>
            <w:vAlign w:val="bottom"/>
          </w:tcPr>
          <w:p>
            <w:pPr>
              <w:spacing w:after="0"/>
              <w:rPr>
                <w:sz w:val="1"/>
                <w:szCs w:val="1"/>
                <w:color w:val="auto"/>
              </w:rPr>
            </w:pPr>
          </w:p>
        </w:tc>
      </w:tr>
      <w:tr>
        <w:trPr>
          <w:trHeight w:val="174"/>
        </w:trPr>
        <w:tc>
          <w:tcPr>
            <w:tcW w:w="286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Outstanding as of January 1, 2024</w:t>
            </w:r>
          </w:p>
        </w:tc>
        <w:tc>
          <w:tcPr>
            <w:tcW w:w="12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737,895</w:t>
            </w:r>
          </w:p>
        </w:tc>
        <w:tc>
          <w:tcPr>
            <w:tcW w:w="8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25.42</w:t>
            </w:r>
          </w:p>
        </w:tc>
        <w:tc>
          <w:tcPr>
            <w:tcW w:w="16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1,317,234</w:t>
            </w:r>
          </w:p>
        </w:tc>
        <w:tc>
          <w:tcPr>
            <w:tcW w:w="20" w:type="dxa"/>
            <w:vAlign w:val="bottom"/>
            <w:tcBorders>
              <w:top w:val="single" w:sz="8" w:color="auto"/>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spacing w:after="0"/>
              <w:rPr>
                <w:sz w:val="15"/>
                <w:szCs w:val="15"/>
                <w:color w:val="auto"/>
              </w:rPr>
            </w:pP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3"/>
        </w:trPr>
        <w:tc>
          <w:tcPr>
            <w:tcW w:w="2860" w:type="dxa"/>
            <w:vAlign w:val="bottom"/>
          </w:tcPr>
          <w:p>
            <w:pPr>
              <w:ind w:left="80"/>
              <w:spacing w:after="0"/>
              <w:rPr>
                <w:sz w:val="20"/>
                <w:szCs w:val="20"/>
                <w:color w:val="auto"/>
              </w:rPr>
            </w:pPr>
            <w:r>
              <w:rPr>
                <w:rFonts w:ascii="Arial" w:cs="Arial" w:eastAsia="Arial" w:hAnsi="Arial"/>
                <w:sz w:val="15"/>
                <w:szCs w:val="15"/>
                <w:color w:val="auto"/>
              </w:rPr>
              <w:t>Granted</w:t>
            </w: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860" w:type="dxa"/>
            <w:vAlign w:val="bottom"/>
            <w:shd w:val="clear" w:color="auto" w:fill="D2EEF5"/>
          </w:tcPr>
          <w:p>
            <w:pPr>
              <w:ind w:left="80"/>
              <w:spacing w:after="0"/>
              <w:rPr>
                <w:sz w:val="20"/>
                <w:szCs w:val="20"/>
                <w:color w:val="auto"/>
              </w:rPr>
            </w:pPr>
            <w:r>
              <w:rPr>
                <w:rFonts w:ascii="Arial" w:cs="Arial" w:eastAsia="Arial" w:hAnsi="Arial"/>
                <w:sz w:val="15"/>
                <w:szCs w:val="15"/>
                <w:color w:val="auto"/>
              </w:rPr>
              <w:t>Exercised</w:t>
            </w:r>
          </w:p>
        </w:tc>
        <w:tc>
          <w:tcPr>
            <w:tcW w:w="1300" w:type="dxa"/>
            <w:vAlign w:val="bottom"/>
            <w:gridSpan w:val="2"/>
            <w:shd w:val="clear" w:color="auto" w:fill="D2EEF5"/>
          </w:tcPr>
          <w:p>
            <w:pPr>
              <w:jc w:val="right"/>
              <w:ind w:right="80"/>
              <w:spacing w:after="0"/>
              <w:rPr>
                <w:sz w:val="20"/>
                <w:szCs w:val="20"/>
                <w:color w:val="auto"/>
              </w:rPr>
            </w:pPr>
            <w:r>
              <w:rPr>
                <w:rFonts w:ascii="Arial" w:cs="Arial" w:eastAsia="Arial" w:hAnsi="Arial"/>
                <w:sz w:val="15"/>
                <w:szCs w:val="15"/>
                <w:color w:val="auto"/>
              </w:rPr>
              <w:t>(25,602)</w:t>
            </w:r>
          </w:p>
        </w:tc>
        <w:tc>
          <w:tcPr>
            <w:tcW w:w="8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2.43</w:t>
            </w:r>
          </w:p>
        </w:tc>
        <w:tc>
          <w:tcPr>
            <w:tcW w:w="1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440" w:type="dxa"/>
            <w:vAlign w:val="bottom"/>
            <w:gridSpan w:val="3"/>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860" w:type="dxa"/>
            <w:vAlign w:val="bottom"/>
          </w:tcPr>
          <w:p>
            <w:pPr>
              <w:ind w:left="80"/>
              <w:spacing w:after="0"/>
              <w:rPr>
                <w:sz w:val="20"/>
                <w:szCs w:val="20"/>
                <w:color w:val="auto"/>
              </w:rPr>
            </w:pPr>
            <w:r>
              <w:rPr>
                <w:rFonts w:ascii="Arial" w:cs="Arial" w:eastAsia="Arial" w:hAnsi="Arial"/>
                <w:sz w:val="15"/>
                <w:szCs w:val="15"/>
                <w:color w:val="auto"/>
              </w:rPr>
              <w:t>Canceled/Expired</w:t>
            </w:r>
          </w:p>
        </w:tc>
        <w:tc>
          <w:tcPr>
            <w:tcW w:w="1300" w:type="dxa"/>
            <w:vAlign w:val="bottom"/>
            <w:gridSpan w:val="2"/>
          </w:tcPr>
          <w:p>
            <w:pPr>
              <w:jc w:val="right"/>
              <w:ind w:right="80"/>
              <w:spacing w:after="0"/>
              <w:rPr>
                <w:sz w:val="20"/>
                <w:szCs w:val="20"/>
                <w:color w:val="auto"/>
              </w:rPr>
            </w:pPr>
            <w:r>
              <w:rPr>
                <w:rFonts w:ascii="Arial" w:cs="Arial" w:eastAsia="Arial" w:hAnsi="Arial"/>
                <w:sz w:val="15"/>
                <w:szCs w:val="15"/>
                <w:color w:val="auto"/>
              </w:rPr>
              <w:t>(124,589)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42.24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86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Outstanding as of December 31, 2024</w:t>
            </w:r>
          </w:p>
        </w:tc>
        <w:tc>
          <w:tcPr>
            <w:tcW w:w="12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587,704</w:t>
            </w:r>
          </w:p>
        </w:tc>
        <w:tc>
          <w:tcPr>
            <w:tcW w:w="80" w:type="dxa"/>
            <w:vAlign w:val="bottom"/>
            <w:tcBorders>
              <w:top w:val="single" w:sz="8" w:color="D2EEF5"/>
            </w:tcBorders>
            <w:shd w:val="clear" w:color="auto" w:fill="D2EEF5"/>
          </w:tcPr>
          <w:p>
            <w:pPr>
              <w:spacing w:after="0"/>
              <w:rPr>
                <w:sz w:val="15"/>
                <w:szCs w:val="15"/>
                <w:color w:val="auto"/>
              </w:rPr>
            </w:pPr>
          </w:p>
        </w:tc>
        <w:tc>
          <w:tcPr>
            <w:tcW w:w="8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spacing w:after="0"/>
              <w:rPr>
                <w:sz w:val="15"/>
                <w:szCs w:val="15"/>
                <w:color w:val="auto"/>
              </w:rPr>
            </w:pPr>
          </w:p>
        </w:tc>
        <w:tc>
          <w:tcPr>
            <w:tcW w:w="11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22.85</w:t>
            </w:r>
          </w:p>
        </w:tc>
        <w:tc>
          <w:tcPr>
            <w:tcW w:w="160" w:type="dxa"/>
            <w:vAlign w:val="bottom"/>
            <w:tcBorders>
              <w:top w:val="single" w:sz="8" w:color="D2EEF5"/>
            </w:tcBorders>
            <w:shd w:val="clear" w:color="auto" w:fill="D2EEF5"/>
          </w:tcPr>
          <w:p>
            <w:pPr>
              <w:spacing w:after="0"/>
              <w:rPr>
                <w:sz w:val="15"/>
                <w:szCs w:val="15"/>
                <w:color w:val="auto"/>
              </w:rPr>
            </w:pPr>
          </w:p>
        </w:tc>
        <w:tc>
          <w:tcPr>
            <w:tcW w:w="12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377,767</w:t>
            </w:r>
          </w:p>
        </w:tc>
        <w:tc>
          <w:tcPr>
            <w:tcW w:w="20" w:type="dxa"/>
            <w:vAlign w:val="bottom"/>
            <w:tcBorders>
              <w:top w:val="single" w:sz="8" w:color="D2EEF5"/>
            </w:tcBorders>
            <w:shd w:val="clear" w:color="auto" w:fill="D2EEF5"/>
          </w:tcPr>
          <w:p>
            <w:pPr>
              <w:spacing w:after="0"/>
              <w:rPr>
                <w:sz w:val="15"/>
                <w:szCs w:val="15"/>
                <w:color w:val="auto"/>
              </w:rPr>
            </w:pPr>
          </w:p>
        </w:tc>
        <w:tc>
          <w:tcPr>
            <w:tcW w:w="140" w:type="dxa"/>
            <w:vAlign w:val="bottom"/>
            <w:tcBorders>
              <w:top w:val="single" w:sz="8" w:color="D2EEF5"/>
            </w:tcBorders>
            <w:shd w:val="clear" w:color="auto" w:fill="D2EEF5"/>
          </w:tcPr>
          <w:p>
            <w:pPr>
              <w:spacing w:after="0"/>
              <w:rPr>
                <w:sz w:val="15"/>
                <w:szCs w:val="15"/>
                <w:color w:val="auto"/>
              </w:rPr>
            </w:pPr>
          </w:p>
        </w:tc>
        <w:tc>
          <w:tcPr>
            <w:tcW w:w="12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83"/>
        </w:trPr>
        <w:tc>
          <w:tcPr>
            <w:tcW w:w="2860" w:type="dxa"/>
            <w:vAlign w:val="bottom"/>
          </w:tcPr>
          <w:p>
            <w:pPr>
              <w:ind w:left="80"/>
              <w:spacing w:after="0"/>
              <w:rPr>
                <w:sz w:val="20"/>
                <w:szCs w:val="20"/>
                <w:color w:val="auto"/>
              </w:rPr>
            </w:pPr>
            <w:r>
              <w:rPr>
                <w:rFonts w:ascii="Arial" w:cs="Arial" w:eastAsia="Arial" w:hAnsi="Arial"/>
                <w:sz w:val="15"/>
                <w:szCs w:val="15"/>
                <w:color w:val="auto"/>
              </w:rPr>
              <w:t>Granted</w:t>
            </w:r>
          </w:p>
        </w:tc>
        <w:tc>
          <w:tcPr>
            <w:tcW w:w="1220" w:type="dxa"/>
            <w:vAlign w:val="bottom"/>
          </w:tcPr>
          <w:p>
            <w:pPr>
              <w:jc w:val="right"/>
              <w:spacing w:after="0"/>
              <w:rPr>
                <w:sz w:val="20"/>
                <w:szCs w:val="20"/>
                <w:color w:val="auto"/>
              </w:rPr>
            </w:pPr>
            <w:r>
              <w:rPr>
                <w:rFonts w:ascii="Arial" w:cs="Arial" w:eastAsia="Arial" w:hAnsi="Arial"/>
                <w:sz w:val="15"/>
                <w:szCs w:val="15"/>
                <w:color w:val="auto"/>
              </w:rPr>
              <w:t>1,202,834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860" w:type="dxa"/>
            <w:vAlign w:val="bottom"/>
            <w:shd w:val="clear" w:color="auto" w:fill="D2EEF5"/>
          </w:tcPr>
          <w:p>
            <w:pPr>
              <w:ind w:left="80"/>
              <w:spacing w:after="0"/>
              <w:rPr>
                <w:sz w:val="20"/>
                <w:szCs w:val="20"/>
                <w:color w:val="auto"/>
              </w:rPr>
            </w:pPr>
            <w:r>
              <w:rPr>
                <w:rFonts w:ascii="Arial" w:cs="Arial" w:eastAsia="Arial" w:hAnsi="Arial"/>
                <w:sz w:val="15"/>
                <w:szCs w:val="15"/>
                <w:color w:val="auto"/>
              </w:rPr>
              <w:t>Exercised</w:t>
            </w:r>
          </w:p>
        </w:tc>
        <w:tc>
          <w:tcPr>
            <w:tcW w:w="1300" w:type="dxa"/>
            <w:vAlign w:val="bottom"/>
            <w:gridSpan w:val="2"/>
            <w:shd w:val="clear" w:color="auto" w:fill="D2EEF5"/>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440" w:type="dxa"/>
            <w:vAlign w:val="bottom"/>
            <w:gridSpan w:val="3"/>
            <w:shd w:val="clear" w:color="auto" w:fill="D2EEF5"/>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860" w:type="dxa"/>
            <w:vAlign w:val="bottom"/>
          </w:tcPr>
          <w:p>
            <w:pPr>
              <w:ind w:left="80"/>
              <w:spacing w:after="0"/>
              <w:rPr>
                <w:sz w:val="20"/>
                <w:szCs w:val="20"/>
                <w:color w:val="auto"/>
              </w:rPr>
            </w:pPr>
            <w:r>
              <w:rPr>
                <w:rFonts w:ascii="Arial" w:cs="Arial" w:eastAsia="Arial" w:hAnsi="Arial"/>
                <w:sz w:val="15"/>
                <w:szCs w:val="15"/>
                <w:color w:val="auto"/>
              </w:rPr>
              <w:t>Canceled/Expired</w:t>
            </w:r>
          </w:p>
        </w:tc>
        <w:tc>
          <w:tcPr>
            <w:tcW w:w="1220" w:type="dxa"/>
            <w:vAlign w:val="bottom"/>
          </w:tcPr>
          <w:p>
            <w:pPr>
              <w:jc w:val="right"/>
              <w:spacing w:after="0"/>
              <w:rPr>
                <w:sz w:val="20"/>
                <w:szCs w:val="20"/>
                <w:color w:val="auto"/>
              </w:rPr>
            </w:pPr>
            <w:r>
              <w:rPr>
                <w:rFonts w:ascii="Arial" w:cs="Arial" w:eastAsia="Arial" w:hAnsi="Arial"/>
                <w:sz w:val="15"/>
                <w:szCs w:val="15"/>
                <w:color w:val="auto"/>
              </w:rPr>
              <w:t>(27,660)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35.66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860" w:type="dxa"/>
            <w:vAlign w:val="bottom"/>
            <w:tcBorders>
              <w:top w:val="single" w:sz="8" w:color="D2EEF5"/>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Outstanding as of December 31, 2025</w:t>
            </w:r>
          </w:p>
        </w:tc>
        <w:tc>
          <w:tcPr>
            <w:tcW w:w="12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1,762,878</w:t>
            </w:r>
          </w:p>
        </w:tc>
        <w:tc>
          <w:tcPr>
            <w:tcW w:w="80" w:type="dxa"/>
            <w:vAlign w:val="bottom"/>
            <w:tcBorders>
              <w:top w:val="single" w:sz="8" w:color="D2EEF5"/>
              <w:bottom w:val="single" w:sz="8" w:color="D2EEF5"/>
            </w:tcBorders>
            <w:shd w:val="clear" w:color="auto" w:fill="D2EEF5"/>
          </w:tcPr>
          <w:p>
            <w:pPr>
              <w:spacing w:after="0"/>
              <w:rPr>
                <w:sz w:val="15"/>
                <w:szCs w:val="15"/>
                <w:color w:val="auto"/>
              </w:rPr>
            </w:pPr>
          </w:p>
        </w:tc>
        <w:tc>
          <w:tcPr>
            <w:tcW w:w="80" w:type="dxa"/>
            <w:vAlign w:val="bottom"/>
            <w:tcBorders>
              <w:top w:val="single" w:sz="8" w:color="D2EEF5"/>
              <w:bottom w:val="single" w:sz="8" w:color="D2EEF5"/>
            </w:tcBorders>
            <w:shd w:val="clear" w:color="auto" w:fill="D2EEF5"/>
          </w:tcPr>
          <w:p>
            <w:pPr>
              <w:spacing w:after="0"/>
              <w:rPr>
                <w:sz w:val="15"/>
                <w:szCs w:val="15"/>
                <w:color w:val="auto"/>
              </w:rPr>
            </w:pPr>
          </w:p>
        </w:tc>
        <w:tc>
          <w:tcPr>
            <w:tcW w:w="120" w:type="dxa"/>
            <w:vAlign w:val="bottom"/>
            <w:tcBorders>
              <w:top w:val="single" w:sz="8" w:color="auto"/>
              <w:bottom w:val="single" w:sz="8" w:color="auto"/>
            </w:tcBorders>
            <w:shd w:val="clear" w:color="auto" w:fill="D2EEF5"/>
          </w:tcPr>
          <w:p>
            <w:pPr>
              <w:jc w:val="right"/>
              <w:ind w:right="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7.77</w:t>
            </w:r>
          </w:p>
        </w:tc>
        <w:tc>
          <w:tcPr>
            <w:tcW w:w="160" w:type="dxa"/>
            <w:vAlign w:val="bottom"/>
            <w:tcBorders>
              <w:top w:val="single" w:sz="8" w:color="D2EEF5"/>
              <w:bottom w:val="single" w:sz="8" w:color="D2EEF5"/>
            </w:tcBorders>
            <w:shd w:val="clear" w:color="auto" w:fill="D2EEF5"/>
          </w:tcPr>
          <w:p>
            <w:pPr>
              <w:spacing w:after="0"/>
              <w:rPr>
                <w:sz w:val="15"/>
                <w:szCs w:val="15"/>
                <w:color w:val="auto"/>
              </w:rPr>
            </w:pPr>
          </w:p>
        </w:tc>
        <w:tc>
          <w:tcPr>
            <w:tcW w:w="12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563,368</w:t>
            </w:r>
          </w:p>
        </w:tc>
        <w:tc>
          <w:tcPr>
            <w:tcW w:w="20" w:type="dxa"/>
            <w:vAlign w:val="bottom"/>
            <w:tcBorders>
              <w:top w:val="single" w:sz="8" w:color="D2EEF5"/>
              <w:bottom w:val="single" w:sz="8" w:color="D2EEF5"/>
            </w:tcBorders>
            <w:shd w:val="clear" w:color="auto" w:fill="D2EEF5"/>
          </w:tcPr>
          <w:p>
            <w:pPr>
              <w:spacing w:after="0"/>
              <w:rPr>
                <w:sz w:val="15"/>
                <w:szCs w:val="15"/>
                <w:color w:val="auto"/>
              </w:rPr>
            </w:pPr>
          </w:p>
        </w:tc>
        <w:tc>
          <w:tcPr>
            <w:tcW w:w="140" w:type="dxa"/>
            <w:vAlign w:val="bottom"/>
            <w:tcBorders>
              <w:top w:val="single" w:sz="8" w:color="D2EEF5"/>
              <w:bottom w:val="single" w:sz="8" w:color="D2EEF5"/>
            </w:tcBorders>
            <w:shd w:val="clear" w:color="auto" w:fill="D2EEF5"/>
          </w:tcPr>
          <w:p>
            <w:pPr>
              <w:spacing w:after="0"/>
              <w:rPr>
                <w:sz w:val="15"/>
                <w:szCs w:val="15"/>
                <w:color w:val="auto"/>
              </w:rPr>
            </w:pPr>
          </w:p>
        </w:tc>
        <w:tc>
          <w:tcPr>
            <w:tcW w:w="12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5"/>
                <w:szCs w:val="15"/>
                <w:color w:val="auto"/>
              </w:rPr>
              <w:t>Options vested and exercisable</w:t>
            </w:r>
          </w:p>
        </w:tc>
        <w:tc>
          <w:tcPr>
            <w:tcW w:w="12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860" w:type="dxa"/>
            <w:vAlign w:val="bottom"/>
            <w:vMerge w:val="continue"/>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461,202</w:t>
            </w:r>
          </w:p>
        </w:tc>
        <w:tc>
          <w:tcPr>
            <w:tcW w:w="8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26.57</w:t>
            </w:r>
          </w:p>
        </w:tc>
        <w:tc>
          <w:tcPr>
            <w:tcW w:w="16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7,619</w:t>
            </w:r>
          </w:p>
        </w:tc>
        <w:tc>
          <w:tcPr>
            <w:tcW w:w="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382" w:lineRule="auto"/>
        <w:rPr>
          <w:sz w:val="20"/>
          <w:szCs w:val="20"/>
          <w:color w:val="auto"/>
        </w:rPr>
      </w:pPr>
      <w:r>
        <w:rPr>
          <w:rFonts w:ascii="Arial" w:cs="Arial" w:eastAsia="Arial" w:hAnsi="Arial"/>
          <w:sz w:val="13"/>
          <w:szCs w:val="13"/>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2025 and 2024, respectively, were as follows:</w:t>
      </w:r>
    </w:p>
    <w:p>
      <w:pPr>
        <w:spacing w:after="0" w:line="68" w:lineRule="exact"/>
        <w:rPr>
          <w:sz w:val="20"/>
          <w:szCs w:val="20"/>
          <w:color w:val="auto"/>
        </w:rPr>
      </w:pPr>
    </w:p>
    <w:p>
      <w:pPr>
        <w:ind w:left="7780"/>
        <w:spacing w:after="0"/>
        <w:rPr>
          <w:sz w:val="20"/>
          <w:szCs w:val="20"/>
          <w:color w:val="auto"/>
        </w:rPr>
      </w:pPr>
      <w:r>
        <w:rPr>
          <w:rFonts w:ascii="Arial" w:cs="Arial" w:eastAsia="Arial" w:hAnsi="Arial"/>
          <w:sz w:val="12"/>
          <w:szCs w:val="12"/>
          <w:b w:val="1"/>
          <w:bCs w:val="1"/>
          <w:color w:val="auto"/>
        </w:rPr>
        <w:t>For the Years Ended</w:t>
      </w:r>
    </w:p>
    <w:p>
      <w:pPr>
        <w:ind w:left="7940"/>
        <w:spacing w:after="0"/>
        <w:rPr>
          <w:sz w:val="20"/>
          <w:szCs w:val="20"/>
          <w:color w:val="auto"/>
        </w:rPr>
      </w:pPr>
      <w:r>
        <w:rPr>
          <w:rFonts w:ascii="Arial" w:cs="Arial" w:eastAsia="Arial" w:hAnsi="Arial"/>
          <w:sz w:val="12"/>
          <w:szCs w:val="12"/>
          <w:b w:val="1"/>
          <w:bCs w:val="1"/>
          <w:color w:val="auto"/>
        </w:rPr>
        <w:t>December 31,</w:t>
      </w:r>
    </w:p>
    <w:tbl>
      <w:tblPr>
        <w:tblLayout w:type="fixed"/>
        <w:tblInd w:w="1080" w:type="dxa"/>
        <w:tblCellMar>
          <w:top w:w="0" w:type="dxa"/>
          <w:left w:w="0" w:type="dxa"/>
          <w:bottom w:w="0" w:type="dxa"/>
          <w:right w:w="0" w:type="dxa"/>
        </w:tblCellMar>
      </w:tblPr>
      <w:tr>
        <w:trPr>
          <w:trHeight w:val="131"/>
        </w:trPr>
        <w:tc>
          <w:tcPr>
            <w:tcW w:w="6140" w:type="dxa"/>
            <w:vAlign w:val="bottom"/>
            <w:tcBorders>
              <w:bottom w:val="single" w:sz="8" w:color="D2EEF5"/>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86"/>
              <w:spacing w:after="0" w:line="131" w:lineRule="exact"/>
              <w:rPr>
                <w:sz w:val="20"/>
                <w:szCs w:val="20"/>
                <w:color w:val="auto"/>
              </w:rPr>
            </w:pPr>
            <w:r>
              <w:rPr>
                <w:rFonts w:ascii="Arial" w:cs="Arial" w:eastAsia="Arial" w:hAnsi="Arial"/>
                <w:sz w:val="12"/>
                <w:szCs w:val="12"/>
                <w:b w:val="1"/>
                <w:bCs w:val="1"/>
                <w:color w:val="auto"/>
              </w:rPr>
              <w:t>2025</w:t>
            </w:r>
          </w:p>
        </w:tc>
        <w:tc>
          <w:tcPr>
            <w:tcW w:w="260" w:type="dxa"/>
            <w:vAlign w:val="bottom"/>
            <w:tcBorders>
              <w:top w:val="single" w:sz="8" w:color="auto"/>
              <w:bottom w:val="single" w:sz="8" w:color="D2EEF5"/>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ind w:left="140"/>
              <w:spacing w:after="0" w:line="131" w:lineRule="exact"/>
              <w:rPr>
                <w:sz w:val="20"/>
                <w:szCs w:val="20"/>
                <w:color w:val="auto"/>
              </w:rPr>
            </w:pPr>
            <w:r>
              <w:rPr>
                <w:rFonts w:ascii="Arial" w:cs="Arial" w:eastAsia="Arial" w:hAnsi="Arial"/>
                <w:sz w:val="12"/>
                <w:szCs w:val="12"/>
                <w:b w:val="1"/>
                <w:bCs w:val="1"/>
                <w:color w:val="auto"/>
              </w:rPr>
              <w:t>2024</w:t>
            </w:r>
          </w:p>
        </w:tc>
        <w:tc>
          <w:tcPr>
            <w:tcW w:w="180" w:type="dxa"/>
            <w:vAlign w:val="bottom"/>
            <w:tcBorders>
              <w:bottom w:val="single" w:sz="8" w:color="D2EEF5"/>
            </w:tcBorders>
          </w:tcPr>
          <w:p>
            <w:pPr>
              <w:spacing w:after="0"/>
              <w:rPr>
                <w:sz w:val="11"/>
                <w:szCs w:val="11"/>
                <w:color w:val="auto"/>
              </w:rPr>
            </w:pPr>
          </w:p>
        </w:tc>
      </w:tr>
      <w:tr>
        <w:trPr>
          <w:trHeight w:val="174"/>
        </w:trPr>
        <w:tc>
          <w:tcPr>
            <w:tcW w:w="6140" w:type="dxa"/>
            <w:vAlign w:val="bottom"/>
            <w:shd w:val="clear" w:color="auto" w:fill="D2EEF5"/>
          </w:tcPr>
          <w:p>
            <w:pPr>
              <w:spacing w:after="0"/>
              <w:rPr>
                <w:sz w:val="20"/>
                <w:szCs w:val="20"/>
                <w:color w:val="auto"/>
              </w:rPr>
            </w:pPr>
            <w:r>
              <w:rPr>
                <w:rFonts w:ascii="Arial" w:cs="Arial" w:eastAsia="Arial" w:hAnsi="Arial"/>
                <w:sz w:val="15"/>
                <w:szCs w:val="15"/>
                <w:color w:val="auto"/>
              </w:rPr>
              <w:t>Exercise price</w:t>
            </w:r>
          </w:p>
        </w:tc>
        <w:tc>
          <w:tcPr>
            <w:tcW w:w="220" w:type="dxa"/>
            <w:vAlign w:val="bottom"/>
            <w:shd w:val="clear" w:color="auto" w:fill="D2EEF5"/>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1.04</w:t>
            </w:r>
          </w:p>
        </w:tc>
        <w:tc>
          <w:tcPr>
            <w:tcW w:w="260" w:type="dxa"/>
            <w:vAlign w:val="bottom"/>
            <w:shd w:val="clear" w:color="auto" w:fill="D2EEF5"/>
          </w:tcPr>
          <w:p>
            <w:pPr>
              <w:spacing w:after="0"/>
              <w:rPr>
                <w:sz w:val="15"/>
                <w:szCs w:val="15"/>
                <w:color w:val="auto"/>
              </w:rPr>
            </w:pPr>
          </w:p>
        </w:tc>
        <w:tc>
          <w:tcPr>
            <w:tcW w:w="220" w:type="dxa"/>
            <w:vAlign w:val="bottom"/>
            <w:shd w:val="clear" w:color="auto" w:fill="D2EEF5"/>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2EEF5"/>
          </w:tcPr>
          <w:p>
            <w:pPr>
              <w:ind w:left="5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2EEF5"/>
          </w:tcPr>
          <w:p>
            <w:pPr>
              <w:spacing w:after="0"/>
              <w:rPr>
                <w:sz w:val="15"/>
                <w:szCs w:val="15"/>
                <w:color w:val="auto"/>
              </w:rPr>
            </w:pPr>
          </w:p>
        </w:tc>
      </w:tr>
      <w:tr>
        <w:trPr>
          <w:trHeight w:val="183"/>
        </w:trPr>
        <w:tc>
          <w:tcPr>
            <w:tcW w:w="6140" w:type="dxa"/>
            <w:vAlign w:val="bottom"/>
          </w:tcPr>
          <w:p>
            <w:pPr>
              <w:spacing w:after="0"/>
              <w:rPr>
                <w:sz w:val="20"/>
                <w:szCs w:val="20"/>
                <w:color w:val="auto"/>
              </w:rPr>
            </w:pPr>
            <w:r>
              <w:rPr>
                <w:rFonts w:ascii="Arial" w:cs="Arial" w:eastAsia="Arial" w:hAnsi="Arial"/>
                <w:sz w:val="15"/>
                <w:szCs w:val="15"/>
                <w:color w:val="auto"/>
              </w:rPr>
              <w:t>Expected term (years)</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5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r>
      <w:tr>
        <w:trPr>
          <w:trHeight w:val="183"/>
        </w:trPr>
        <w:tc>
          <w:tcPr>
            <w:tcW w:w="6140" w:type="dxa"/>
            <w:vAlign w:val="bottom"/>
            <w:shd w:val="clear" w:color="auto" w:fill="D2EEF5"/>
          </w:tcPr>
          <w:p>
            <w:pPr>
              <w:spacing w:after="0"/>
              <w:rPr>
                <w:sz w:val="20"/>
                <w:szCs w:val="20"/>
                <w:color w:val="auto"/>
              </w:rPr>
            </w:pPr>
            <w:r>
              <w:rPr>
                <w:rFonts w:ascii="Arial" w:cs="Arial" w:eastAsia="Arial" w:hAnsi="Arial"/>
                <w:sz w:val="15"/>
                <w:szCs w:val="15"/>
                <w:color w:val="auto"/>
              </w:rPr>
              <w:t>Expected stock price volatility</w:t>
            </w:r>
          </w:p>
        </w:tc>
        <w:tc>
          <w:tcPr>
            <w:tcW w:w="220" w:type="dxa"/>
            <w:vAlign w:val="bottom"/>
            <w:shd w:val="clear" w:color="auto" w:fill="D2EEF5"/>
          </w:tcPr>
          <w:p>
            <w:pPr>
              <w:spacing w:after="0"/>
              <w:rPr>
                <w:sz w:val="15"/>
                <w:szCs w:val="15"/>
                <w:color w:val="auto"/>
              </w:rPr>
            </w:pPr>
          </w:p>
        </w:tc>
        <w:tc>
          <w:tcPr>
            <w:tcW w:w="1000" w:type="dxa"/>
            <w:vAlign w:val="bottom"/>
            <w:gridSpan w:val="2"/>
            <w:shd w:val="clear" w:color="auto" w:fill="D2EEF5"/>
          </w:tcPr>
          <w:p>
            <w:pPr>
              <w:jc w:val="right"/>
              <w:ind w:right="120"/>
              <w:spacing w:after="0"/>
              <w:rPr>
                <w:sz w:val="20"/>
                <w:szCs w:val="20"/>
                <w:color w:val="auto"/>
              </w:rPr>
            </w:pPr>
            <w:r>
              <w:rPr>
                <w:rFonts w:ascii="Arial" w:cs="Arial" w:eastAsia="Arial" w:hAnsi="Arial"/>
                <w:sz w:val="15"/>
                <w:szCs w:val="15"/>
                <w:color w:val="auto"/>
              </w:rPr>
              <w:t>104.82 %</w:t>
            </w:r>
          </w:p>
        </w:tc>
        <w:tc>
          <w:tcPr>
            <w:tcW w:w="220" w:type="dxa"/>
            <w:vAlign w:val="bottom"/>
            <w:shd w:val="clear" w:color="auto" w:fill="D2EEF5"/>
          </w:tcPr>
          <w:p>
            <w:pPr>
              <w:spacing w:after="0"/>
              <w:rPr>
                <w:sz w:val="15"/>
                <w:szCs w:val="15"/>
                <w:color w:val="auto"/>
              </w:rPr>
            </w:pPr>
          </w:p>
        </w:tc>
        <w:tc>
          <w:tcPr>
            <w:tcW w:w="740" w:type="dxa"/>
            <w:vAlign w:val="bottom"/>
            <w:shd w:val="clear" w:color="auto" w:fill="D2EEF5"/>
          </w:tcPr>
          <w:p>
            <w:pPr>
              <w:ind w:left="5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2EEF5"/>
          </w:tcPr>
          <w:p>
            <w:pPr>
              <w:jc w:val="right"/>
              <w:spacing w:after="0"/>
              <w:rPr>
                <w:sz w:val="20"/>
                <w:szCs w:val="20"/>
                <w:color w:val="auto"/>
              </w:rPr>
            </w:pPr>
            <w:r>
              <w:rPr>
                <w:rFonts w:ascii="Arial" w:cs="Arial" w:eastAsia="Arial" w:hAnsi="Arial"/>
                <w:sz w:val="15"/>
                <w:szCs w:val="15"/>
                <w:color w:val="auto"/>
                <w:w w:val="89"/>
                <w:shd w:val="clear" w:color="auto" w:fill="D2EEF5"/>
              </w:rPr>
              <w:t>%</w:t>
            </w:r>
          </w:p>
        </w:tc>
      </w:tr>
      <w:tr>
        <w:trPr>
          <w:trHeight w:val="183"/>
        </w:trPr>
        <w:tc>
          <w:tcPr>
            <w:tcW w:w="6140" w:type="dxa"/>
            <w:vAlign w:val="bottom"/>
          </w:tcPr>
          <w:p>
            <w:pPr>
              <w:spacing w:after="0"/>
              <w:rPr>
                <w:sz w:val="20"/>
                <w:szCs w:val="20"/>
                <w:color w:val="auto"/>
              </w:rPr>
            </w:pPr>
            <w:r>
              <w:rPr>
                <w:rFonts w:ascii="Arial" w:cs="Arial" w:eastAsia="Arial" w:hAnsi="Arial"/>
                <w:sz w:val="15"/>
                <w:szCs w:val="15"/>
                <w:color w:val="auto"/>
              </w:rPr>
              <w:t>Risk-free rate of interest</w:t>
            </w:r>
          </w:p>
        </w:tc>
        <w:tc>
          <w:tcPr>
            <w:tcW w:w="2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3.88 %</w:t>
            </w:r>
          </w:p>
        </w:tc>
        <w:tc>
          <w:tcPr>
            <w:tcW w:w="220" w:type="dxa"/>
            <w:vAlign w:val="bottom"/>
          </w:tcPr>
          <w:p>
            <w:pPr>
              <w:spacing w:after="0"/>
              <w:rPr>
                <w:sz w:val="15"/>
                <w:szCs w:val="15"/>
                <w:color w:val="auto"/>
              </w:rPr>
            </w:pPr>
          </w:p>
        </w:tc>
        <w:tc>
          <w:tcPr>
            <w:tcW w:w="740" w:type="dxa"/>
            <w:vAlign w:val="bottom"/>
          </w:tcPr>
          <w:p>
            <w:pPr>
              <w:ind w:left="54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w w:val="89"/>
              </w:rPr>
              <w:t>%</w:t>
            </w:r>
          </w:p>
        </w:tc>
      </w:tr>
      <w:tr>
        <w:trPr>
          <w:trHeight w:val="183"/>
        </w:trPr>
        <w:tc>
          <w:tcPr>
            <w:tcW w:w="6140" w:type="dxa"/>
            <w:vAlign w:val="bottom"/>
            <w:shd w:val="clear" w:color="auto" w:fill="D2EEF5"/>
          </w:tcPr>
          <w:p>
            <w:pPr>
              <w:spacing w:after="0"/>
              <w:rPr>
                <w:sz w:val="20"/>
                <w:szCs w:val="20"/>
                <w:color w:val="auto"/>
              </w:rPr>
            </w:pPr>
            <w:r>
              <w:rPr>
                <w:rFonts w:ascii="Arial" w:cs="Arial" w:eastAsia="Arial" w:hAnsi="Arial"/>
                <w:sz w:val="15"/>
                <w:szCs w:val="15"/>
                <w:color w:val="auto"/>
              </w:rPr>
              <w:t>Expected dividend rate</w:t>
            </w:r>
          </w:p>
        </w:tc>
        <w:tc>
          <w:tcPr>
            <w:tcW w:w="220" w:type="dxa"/>
            <w:vAlign w:val="bottom"/>
            <w:shd w:val="clear" w:color="auto" w:fill="D2EEF5"/>
          </w:tcPr>
          <w:p>
            <w:pPr>
              <w:spacing w:after="0"/>
              <w:rPr>
                <w:sz w:val="15"/>
                <w:szCs w:val="15"/>
                <w:color w:val="auto"/>
              </w:rPr>
            </w:pPr>
          </w:p>
        </w:tc>
        <w:tc>
          <w:tcPr>
            <w:tcW w:w="1000" w:type="dxa"/>
            <w:vAlign w:val="bottom"/>
            <w:gridSpan w:val="2"/>
            <w:shd w:val="clear" w:color="auto" w:fill="D2EEF5"/>
          </w:tcPr>
          <w:p>
            <w:pPr>
              <w:jc w:val="right"/>
              <w:ind w:right="120"/>
              <w:spacing w:after="0"/>
              <w:rPr>
                <w:sz w:val="20"/>
                <w:szCs w:val="20"/>
                <w:color w:val="auto"/>
              </w:rPr>
            </w:pPr>
            <w:r>
              <w:rPr>
                <w:rFonts w:ascii="Arial" w:cs="Arial" w:eastAsia="Arial" w:hAnsi="Arial"/>
                <w:sz w:val="15"/>
                <w:szCs w:val="15"/>
                <w:color w:val="auto"/>
              </w:rPr>
              <w:t>0.00 %</w:t>
            </w:r>
          </w:p>
        </w:tc>
        <w:tc>
          <w:tcPr>
            <w:tcW w:w="220" w:type="dxa"/>
            <w:vAlign w:val="bottom"/>
            <w:shd w:val="clear" w:color="auto" w:fill="D2EEF5"/>
          </w:tcPr>
          <w:p>
            <w:pPr>
              <w:spacing w:after="0"/>
              <w:rPr>
                <w:sz w:val="15"/>
                <w:szCs w:val="15"/>
                <w:color w:val="auto"/>
              </w:rPr>
            </w:pPr>
          </w:p>
        </w:tc>
        <w:tc>
          <w:tcPr>
            <w:tcW w:w="740" w:type="dxa"/>
            <w:vAlign w:val="bottom"/>
            <w:shd w:val="clear" w:color="auto" w:fill="D2EEF5"/>
          </w:tcPr>
          <w:p>
            <w:pPr>
              <w:ind w:left="540"/>
              <w:spacing w:after="0"/>
              <w:rPr>
                <w:sz w:val="20"/>
                <w:szCs w:val="20"/>
                <w:color w:val="auto"/>
              </w:rPr>
            </w:pPr>
            <w:r>
              <w:rPr>
                <w:rFonts w:ascii="Arial" w:cs="Arial" w:eastAsia="Arial" w:hAnsi="Arial"/>
                <w:sz w:val="15"/>
                <w:szCs w:val="15"/>
                <w:color w:val="auto"/>
              </w:rPr>
              <w:t>—</w:t>
            </w:r>
          </w:p>
        </w:tc>
        <w:tc>
          <w:tcPr>
            <w:tcW w:w="180" w:type="dxa"/>
            <w:vAlign w:val="bottom"/>
            <w:shd w:val="clear" w:color="auto" w:fill="D2EEF5"/>
          </w:tcPr>
          <w:p>
            <w:pPr>
              <w:jc w:val="right"/>
              <w:spacing w:after="0"/>
              <w:rPr>
                <w:sz w:val="20"/>
                <w:szCs w:val="20"/>
                <w:color w:val="auto"/>
              </w:rPr>
            </w:pPr>
            <w:r>
              <w:rPr>
                <w:rFonts w:ascii="Arial" w:cs="Arial" w:eastAsia="Arial" w:hAnsi="Arial"/>
                <w:sz w:val="15"/>
                <w:szCs w:val="15"/>
                <w:color w:val="auto"/>
                <w:w w:val="89"/>
                <w:shd w:val="clear" w:color="auto" w:fill="D2EEF5"/>
              </w:rPr>
              <w:t>%</w:t>
            </w:r>
          </w:p>
        </w:tc>
      </w:tr>
    </w:tbl>
    <w:p>
      <w:pPr>
        <w:spacing w:after="0" w:line="200" w:lineRule="exact"/>
        <w:rPr>
          <w:sz w:val="20"/>
          <w:szCs w:val="20"/>
          <w:color w:val="auto"/>
        </w:rPr>
      </w:pP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ectPr>
          <w:pgSz w:w="11900" w:h="16834" w:orient="portrait"/>
          <w:cols w:equalWidth="0" w:num="1">
            <w:col w:w="10640"/>
          </w:cols>
          <w:pgMar w:left="620" w:top="1440" w:right="634" w:bottom="0"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stock-based compensation expenses recorded during the respective periods:</w:t>
      </w:r>
    </w:p>
    <w:p>
      <w:pPr>
        <w:spacing w:after="0" w:line="188" w:lineRule="exact"/>
        <w:rPr>
          <w:sz w:val="20"/>
          <w:szCs w:val="20"/>
          <w:color w:val="auto"/>
        </w:rPr>
      </w:pPr>
    </w:p>
    <w:p>
      <w:pPr>
        <w:ind w:left="7860"/>
        <w:spacing w:after="0"/>
        <w:rPr>
          <w:sz w:val="20"/>
          <w:szCs w:val="20"/>
          <w:color w:val="auto"/>
        </w:rPr>
      </w:pPr>
      <w:r>
        <w:rPr>
          <w:rFonts w:ascii="Arial" w:cs="Arial" w:eastAsia="Arial" w:hAnsi="Arial"/>
          <w:sz w:val="12"/>
          <w:szCs w:val="12"/>
          <w:b w:val="1"/>
          <w:bCs w:val="1"/>
          <w:color w:val="auto"/>
        </w:rPr>
        <w:t>For the Years Ended</w:t>
      </w:r>
    </w:p>
    <w:p>
      <w:pPr>
        <w:ind w:left="8020"/>
        <w:spacing w:after="0"/>
        <w:rPr>
          <w:sz w:val="20"/>
          <w:szCs w:val="20"/>
          <w:color w:val="auto"/>
        </w:rPr>
      </w:pPr>
      <w:r>
        <w:rPr>
          <w:rFonts w:ascii="Arial" w:cs="Arial" w:eastAsia="Arial" w:hAnsi="Arial"/>
          <w:sz w:val="12"/>
          <w:szCs w:val="12"/>
          <w:b w:val="1"/>
          <w:bCs w:val="1"/>
          <w:color w:val="auto"/>
        </w:rPr>
        <w:t>December 31,</w:t>
      </w:r>
    </w:p>
    <w:tbl>
      <w:tblPr>
        <w:tblLayout w:type="fixed"/>
        <w:tblInd w:w="1080" w:type="dxa"/>
        <w:tblCellMar>
          <w:top w:w="0" w:type="dxa"/>
          <w:left w:w="0" w:type="dxa"/>
          <w:bottom w:w="0" w:type="dxa"/>
          <w:right w:w="0" w:type="dxa"/>
        </w:tblCellMar>
      </w:tblPr>
      <w:tr>
        <w:trPr>
          <w:trHeight w:val="131"/>
        </w:trPr>
        <w:tc>
          <w:tcPr>
            <w:tcW w:w="6140" w:type="dxa"/>
            <w:vAlign w:val="bottom"/>
            <w:tcBorders>
              <w:bottom w:val="single" w:sz="8" w:color="D2EEF5"/>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48"/>
              <w:spacing w:after="0" w:line="131"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bottom w:val="single" w:sz="8" w:color="D2EEF5"/>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48"/>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6140" w:type="dxa"/>
            <w:vAlign w:val="bottom"/>
            <w:shd w:val="clear" w:color="auto" w:fill="D2EEF5"/>
          </w:tcPr>
          <w:p>
            <w:pPr>
              <w:spacing w:after="0"/>
              <w:rPr>
                <w:sz w:val="20"/>
                <w:szCs w:val="20"/>
                <w:color w:val="auto"/>
              </w:rPr>
            </w:pPr>
            <w:r>
              <w:rPr>
                <w:rFonts w:ascii="Arial" w:cs="Arial" w:eastAsia="Arial" w:hAnsi="Arial"/>
                <w:sz w:val="15"/>
                <w:szCs w:val="15"/>
                <w:color w:val="auto"/>
              </w:rPr>
              <w:t>Stock Compensation expenses:</w:t>
            </w:r>
          </w:p>
        </w:tc>
        <w:tc>
          <w:tcPr>
            <w:tcW w:w="240" w:type="dxa"/>
            <w:vAlign w:val="bottom"/>
            <w:shd w:val="clear" w:color="auto" w:fill="D2EEF5"/>
          </w:tcPr>
          <w:p>
            <w:pPr>
              <w:spacing w:after="0"/>
              <w:rPr>
                <w:sz w:val="15"/>
                <w:szCs w:val="15"/>
                <w:color w:val="auto"/>
              </w:rPr>
            </w:pPr>
          </w:p>
        </w:tc>
        <w:tc>
          <w:tcPr>
            <w:tcW w:w="84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840" w:type="dxa"/>
            <w:vAlign w:val="bottom"/>
            <w:shd w:val="clear" w:color="auto" w:fill="D2EEF5"/>
          </w:tcPr>
          <w:p>
            <w:pPr>
              <w:spacing w:after="0"/>
              <w:rPr>
                <w:sz w:val="15"/>
                <w:szCs w:val="15"/>
                <w:color w:val="auto"/>
              </w:rPr>
            </w:pPr>
          </w:p>
        </w:tc>
      </w:tr>
      <w:tr>
        <w:trPr>
          <w:trHeight w:val="183"/>
        </w:trPr>
        <w:tc>
          <w:tcPr>
            <w:tcW w:w="6140" w:type="dxa"/>
            <w:vAlign w:val="bottom"/>
          </w:tcPr>
          <w:p>
            <w:pPr>
              <w:ind w:left="80"/>
              <w:spacing w:after="0"/>
              <w:rPr>
                <w:sz w:val="20"/>
                <w:szCs w:val="20"/>
                <w:color w:val="auto"/>
              </w:rPr>
            </w:pPr>
            <w:r>
              <w:rPr>
                <w:rFonts w:ascii="Arial" w:cs="Arial" w:eastAsia="Arial" w:hAnsi="Arial"/>
                <w:sz w:val="15"/>
                <w:szCs w:val="15"/>
                <w:color w:val="auto"/>
              </w:rPr>
              <w:t>Research and development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308,068</w:t>
            </w:r>
          </w:p>
        </w:tc>
        <w:tc>
          <w:tcPr>
            <w:tcW w:w="200" w:type="dxa"/>
            <w:vAlign w:val="bottom"/>
          </w:tcPr>
          <w:p>
            <w:pPr>
              <w:spacing w:after="0"/>
              <w:rPr>
                <w:sz w:val="15"/>
                <w:szCs w:val="15"/>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15,247</w:t>
            </w:r>
          </w:p>
        </w:tc>
      </w:tr>
      <w:tr>
        <w:trPr>
          <w:trHeight w:val="183"/>
        </w:trPr>
        <w:tc>
          <w:tcPr>
            <w:tcW w:w="6140" w:type="dxa"/>
            <w:vAlign w:val="bottom"/>
            <w:shd w:val="clear" w:color="auto" w:fill="D2EEF5"/>
          </w:tcPr>
          <w:p>
            <w:pPr>
              <w:ind w:left="80"/>
              <w:spacing w:after="0"/>
              <w:rPr>
                <w:sz w:val="20"/>
                <w:szCs w:val="20"/>
                <w:color w:val="auto"/>
              </w:rPr>
            </w:pPr>
            <w:r>
              <w:rPr>
                <w:rFonts w:ascii="Arial" w:cs="Arial" w:eastAsia="Arial" w:hAnsi="Arial"/>
                <w:sz w:val="15"/>
                <w:szCs w:val="15"/>
                <w:color w:val="auto"/>
              </w:rPr>
              <w:t>General and administrative</w:t>
            </w:r>
          </w:p>
        </w:tc>
        <w:tc>
          <w:tcPr>
            <w:tcW w:w="240" w:type="dxa"/>
            <w:vAlign w:val="bottom"/>
            <w:tcBorders>
              <w:bottom w:val="single" w:sz="8" w:color="auto"/>
            </w:tcBorders>
            <w:shd w:val="clear" w:color="auto" w:fill="D2EEF5"/>
          </w:tcPr>
          <w:p>
            <w:pPr>
              <w:spacing w:after="0"/>
              <w:rPr>
                <w:sz w:val="15"/>
                <w:szCs w:val="15"/>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229,472</w:t>
            </w:r>
          </w:p>
        </w:tc>
        <w:tc>
          <w:tcPr>
            <w:tcW w:w="200" w:type="dxa"/>
            <w:vAlign w:val="bottom"/>
            <w:shd w:val="clear" w:color="auto" w:fill="D2EEF5"/>
          </w:tcPr>
          <w:p>
            <w:pPr>
              <w:spacing w:after="0"/>
              <w:rPr>
                <w:sz w:val="15"/>
                <w:szCs w:val="15"/>
                <w:color w:val="auto"/>
              </w:rPr>
            </w:pPr>
          </w:p>
        </w:tc>
        <w:tc>
          <w:tcPr>
            <w:tcW w:w="240" w:type="dxa"/>
            <w:vAlign w:val="bottom"/>
            <w:tcBorders>
              <w:bottom w:val="single" w:sz="8" w:color="auto"/>
            </w:tcBorders>
            <w:shd w:val="clear" w:color="auto" w:fill="D2EEF5"/>
          </w:tcPr>
          <w:p>
            <w:pPr>
              <w:spacing w:after="0"/>
              <w:rPr>
                <w:sz w:val="15"/>
                <w:szCs w:val="15"/>
                <w:color w:val="auto"/>
              </w:rPr>
            </w:pPr>
          </w:p>
        </w:tc>
        <w:tc>
          <w:tcPr>
            <w:tcW w:w="8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230,617</w:t>
            </w:r>
          </w:p>
        </w:tc>
      </w:tr>
      <w:tr>
        <w:trPr>
          <w:trHeight w:val="174"/>
        </w:trPr>
        <w:tc>
          <w:tcPr>
            <w:tcW w:w="6140" w:type="dxa"/>
            <w:vAlign w:val="bottom"/>
          </w:tcPr>
          <w:p>
            <w:pPr>
              <w:spacing w:after="0"/>
              <w:rPr>
                <w:sz w:val="20"/>
                <w:szCs w:val="20"/>
                <w:color w:val="auto"/>
              </w:rPr>
            </w:pPr>
            <w:r>
              <w:rPr>
                <w:rFonts w:ascii="Arial" w:cs="Arial" w:eastAsia="Arial" w:hAnsi="Arial"/>
                <w:sz w:val="15"/>
                <w:szCs w:val="15"/>
                <w:color w:val="auto"/>
              </w:rPr>
              <w:t>Total stock compensation expenses</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537,540</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245,864</w:t>
            </w:r>
          </w:p>
        </w:tc>
      </w:tr>
      <w:tr>
        <w:trPr>
          <w:trHeight w:val="20"/>
        </w:trPr>
        <w:tc>
          <w:tcPr>
            <w:tcW w:w="6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During the year ended December 31, 2025, the Company recorded incremental stock-based compensation expense of $0.3 million pertaining to the modification of stock options in connection with certain consultants. The modification resulted in an acceleration of $0.3 million in compensation expense that was immediately recognized, and is reflected in operating expenses.</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At December 31, 2025, the total stock-based compensation cost related to unvested awards not yet recognized was $0.9 million. The expected weighted average period for compensation costs to be recognized was 1.8 years. Future option grants will impact the compensation expense recognized.</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GRANT INCOME</w:t>
      </w:r>
    </w:p>
    <w:p>
      <w:pPr>
        <w:spacing w:after="0" w:line="196"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Grant Income represents funding under cost reimbursement programs from government agencies and non-profit foundations for qualified research and development activities performed by the Company. Revenue is recognized when the Company incurs expenses related to the grants for the amount the Company is entitled to under the provisions of the contract (see Note 3). If restricted cash is received from grants in advance of incurring qualifying costs, it is recorded as deferred revenue and recognized as revenue when qualifying costs are incurred. The Company had $1.0 million of restricted cash recorded as of December 31, 2025, and none recorded as of December 31, 2024.</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grant income recorded for the years ended December 31, 2025 and 2024, by grant:</w:t>
      </w:r>
    </w:p>
    <w:p>
      <w:pPr>
        <w:spacing w:after="0" w:line="188" w:lineRule="exact"/>
        <w:rPr>
          <w:sz w:val="20"/>
          <w:szCs w:val="20"/>
          <w:color w:val="auto"/>
        </w:rPr>
      </w:pPr>
    </w:p>
    <w:p>
      <w:pPr>
        <w:jc w:val="center"/>
        <w:ind w:left="6360"/>
        <w:spacing w:after="0"/>
        <w:rPr>
          <w:sz w:val="20"/>
          <w:szCs w:val="20"/>
          <w:color w:val="auto"/>
        </w:rPr>
      </w:pPr>
      <w:r>
        <w:rPr>
          <w:rFonts w:ascii="Arial" w:cs="Arial" w:eastAsia="Arial" w:hAnsi="Arial"/>
          <w:sz w:val="12"/>
          <w:szCs w:val="12"/>
          <w:b w:val="1"/>
          <w:bCs w:val="1"/>
          <w:color w:val="auto"/>
        </w:rPr>
        <w:t>For the Years Ended</w:t>
      </w:r>
    </w:p>
    <w:p>
      <w:pPr>
        <w:jc w:val="center"/>
        <w:ind w:left="636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1"/>
        </w:trPr>
        <w:tc>
          <w:tcPr>
            <w:tcW w:w="1080" w:type="dxa"/>
            <w:vAlign w:val="bottom"/>
          </w:tcPr>
          <w:p>
            <w:pPr>
              <w:spacing w:after="0"/>
              <w:rPr>
                <w:sz w:val="11"/>
                <w:szCs w:val="11"/>
                <w:color w:val="auto"/>
              </w:rPr>
            </w:pPr>
          </w:p>
        </w:tc>
        <w:tc>
          <w:tcPr>
            <w:tcW w:w="1580" w:type="dxa"/>
            <w:vAlign w:val="bottom"/>
            <w:tcBorders>
              <w:bottom w:val="single" w:sz="8" w:color="D2EEF5"/>
            </w:tcBorders>
          </w:tcPr>
          <w:p>
            <w:pPr>
              <w:spacing w:after="0"/>
              <w:rPr>
                <w:sz w:val="11"/>
                <w:szCs w:val="11"/>
                <w:color w:val="auto"/>
              </w:rPr>
            </w:pPr>
          </w:p>
        </w:tc>
        <w:tc>
          <w:tcPr>
            <w:tcW w:w="4780" w:type="dxa"/>
            <w:vAlign w:val="bottom"/>
            <w:tcBorders>
              <w:bottom w:val="single" w:sz="8" w:color="D2EEF5"/>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85"/>
              <w:spacing w:after="0" w:line="131" w:lineRule="exact"/>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bottom w:val="single" w:sz="8" w:color="D2EEF5"/>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05"/>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1080" w:type="dxa"/>
            <w:vAlign w:val="bottom"/>
          </w:tcPr>
          <w:p>
            <w:pPr>
              <w:spacing w:after="0"/>
              <w:rPr>
                <w:sz w:val="15"/>
                <w:szCs w:val="15"/>
                <w:color w:val="auto"/>
              </w:rPr>
            </w:pPr>
          </w:p>
        </w:tc>
        <w:tc>
          <w:tcPr>
            <w:tcW w:w="6360" w:type="dxa"/>
            <w:vAlign w:val="bottom"/>
            <w:gridSpan w:val="2"/>
            <w:shd w:val="clear" w:color="auto" w:fill="D2EEF5"/>
          </w:tcPr>
          <w:p>
            <w:pPr>
              <w:spacing w:after="0"/>
              <w:rPr>
                <w:sz w:val="20"/>
                <w:szCs w:val="20"/>
                <w:color w:val="auto"/>
              </w:rPr>
            </w:pPr>
            <w:r>
              <w:rPr>
                <w:rFonts w:ascii="Arial" w:cs="Arial" w:eastAsia="Arial" w:hAnsi="Arial"/>
                <w:sz w:val="15"/>
                <w:szCs w:val="15"/>
                <w:color w:val="auto"/>
              </w:rPr>
              <w:t>Grant income:</w:t>
            </w:r>
          </w:p>
        </w:tc>
        <w:tc>
          <w:tcPr>
            <w:tcW w:w="200" w:type="dxa"/>
            <w:vAlign w:val="bottom"/>
            <w:shd w:val="clear" w:color="auto" w:fill="D2EEF5"/>
          </w:tcPr>
          <w:p>
            <w:pPr>
              <w:spacing w:after="0"/>
              <w:rPr>
                <w:sz w:val="15"/>
                <w:szCs w:val="15"/>
                <w:color w:val="auto"/>
              </w:rPr>
            </w:pPr>
          </w:p>
        </w:tc>
        <w:tc>
          <w:tcPr>
            <w:tcW w:w="780" w:type="dxa"/>
            <w:vAlign w:val="bottom"/>
            <w:shd w:val="clear" w:color="auto" w:fill="D2EEF5"/>
          </w:tcPr>
          <w:p>
            <w:pPr>
              <w:spacing w:after="0"/>
              <w:rPr>
                <w:sz w:val="15"/>
                <w:szCs w:val="15"/>
                <w:color w:val="auto"/>
              </w:rPr>
            </w:pP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6360" w:type="dxa"/>
            <w:vAlign w:val="bottom"/>
            <w:gridSpan w:val="2"/>
          </w:tcPr>
          <w:p>
            <w:pPr>
              <w:ind w:left="80"/>
              <w:spacing w:after="0" w:line="183" w:lineRule="exact"/>
              <w:rPr>
                <w:sz w:val="20"/>
                <w:szCs w:val="20"/>
                <w:color w:val="auto"/>
              </w:rPr>
            </w:pPr>
            <w:r>
              <w:rPr>
                <w:rFonts w:ascii="Arial" w:cs="Arial" w:eastAsia="Arial" w:hAnsi="Arial"/>
                <w:sz w:val="15"/>
                <w:szCs w:val="15"/>
                <w:color w:val="auto"/>
              </w:rPr>
              <w:t>CPRIT AML Grant</w:t>
            </w:r>
            <w:r>
              <w:rPr>
                <w:rFonts w:ascii="Arial" w:cs="Arial" w:eastAsia="Arial" w:hAnsi="Arial"/>
                <w:sz w:val="21"/>
                <w:szCs w:val="21"/>
                <w:color w:val="auto"/>
                <w:vertAlign w:val="superscript"/>
              </w:rPr>
              <w:t>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900,014</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4,411,149</w:t>
            </w:r>
          </w:p>
        </w:tc>
      </w:tr>
      <w:tr>
        <w:trPr>
          <w:trHeight w:val="183"/>
        </w:trPr>
        <w:tc>
          <w:tcPr>
            <w:tcW w:w="1080" w:type="dxa"/>
            <w:vAlign w:val="bottom"/>
          </w:tcPr>
          <w:p>
            <w:pPr>
              <w:spacing w:after="0"/>
              <w:rPr>
                <w:sz w:val="15"/>
                <w:szCs w:val="15"/>
                <w:color w:val="auto"/>
              </w:rPr>
            </w:pPr>
          </w:p>
        </w:tc>
        <w:tc>
          <w:tcPr>
            <w:tcW w:w="6360" w:type="dxa"/>
            <w:vAlign w:val="bottom"/>
            <w:gridSpan w:val="2"/>
            <w:shd w:val="clear" w:color="auto" w:fill="D2EEF5"/>
          </w:tcPr>
          <w:p>
            <w:pPr>
              <w:ind w:left="80"/>
              <w:spacing w:after="0"/>
              <w:rPr>
                <w:sz w:val="20"/>
                <w:szCs w:val="20"/>
                <w:color w:val="auto"/>
              </w:rPr>
            </w:pPr>
            <w:r>
              <w:rPr>
                <w:rFonts w:ascii="Arial" w:cs="Arial" w:eastAsia="Arial" w:hAnsi="Arial"/>
                <w:sz w:val="15"/>
                <w:szCs w:val="15"/>
                <w:color w:val="auto"/>
              </w:rPr>
              <w:t>FDA Grant</w:t>
            </w:r>
          </w:p>
        </w:tc>
        <w:tc>
          <w:tcPr>
            <w:tcW w:w="200" w:type="dxa"/>
            <w:vAlign w:val="bottom"/>
            <w:shd w:val="clear" w:color="auto" w:fill="D2EEF5"/>
          </w:tcPr>
          <w:p>
            <w:pPr>
              <w:spacing w:after="0"/>
              <w:rPr>
                <w:sz w:val="15"/>
                <w:szCs w:val="15"/>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118,478</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519,750</w:t>
            </w:r>
          </w:p>
        </w:tc>
      </w:tr>
      <w:tr>
        <w:trPr>
          <w:trHeight w:val="183"/>
        </w:trPr>
        <w:tc>
          <w:tcPr>
            <w:tcW w:w="1080" w:type="dxa"/>
            <w:vAlign w:val="bottom"/>
          </w:tcPr>
          <w:p>
            <w:pPr>
              <w:spacing w:after="0"/>
              <w:rPr>
                <w:sz w:val="15"/>
                <w:szCs w:val="15"/>
                <w:color w:val="auto"/>
              </w:rPr>
            </w:pPr>
          </w:p>
        </w:tc>
        <w:tc>
          <w:tcPr>
            <w:tcW w:w="6360" w:type="dxa"/>
            <w:vAlign w:val="bottom"/>
            <w:gridSpan w:val="2"/>
          </w:tcPr>
          <w:p>
            <w:pPr>
              <w:ind w:left="80"/>
              <w:spacing w:after="0"/>
              <w:rPr>
                <w:sz w:val="20"/>
                <w:szCs w:val="20"/>
                <w:color w:val="auto"/>
              </w:rPr>
            </w:pPr>
            <w:r>
              <w:rPr>
                <w:rFonts w:ascii="Arial" w:cs="Arial" w:eastAsia="Arial" w:hAnsi="Arial"/>
                <w:sz w:val="15"/>
                <w:szCs w:val="15"/>
                <w:color w:val="auto"/>
              </w:rPr>
              <w:t>SBIR AML Grant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472,208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982,182</w:t>
            </w:r>
          </w:p>
        </w:tc>
      </w:tr>
      <w:tr>
        <w:trPr>
          <w:trHeight w:val="183"/>
        </w:trPr>
        <w:tc>
          <w:tcPr>
            <w:tcW w:w="1080" w:type="dxa"/>
            <w:vAlign w:val="bottom"/>
          </w:tcPr>
          <w:p>
            <w:pPr>
              <w:spacing w:after="0"/>
              <w:rPr>
                <w:sz w:val="15"/>
                <w:szCs w:val="15"/>
                <w:color w:val="auto"/>
              </w:rPr>
            </w:pPr>
          </w:p>
        </w:tc>
        <w:tc>
          <w:tcPr>
            <w:tcW w:w="6360" w:type="dxa"/>
            <w:vAlign w:val="bottom"/>
            <w:gridSpan w:val="2"/>
            <w:shd w:val="clear" w:color="auto" w:fill="D2EEF5"/>
          </w:tcPr>
          <w:p>
            <w:pPr>
              <w:ind w:left="80"/>
              <w:spacing w:after="0"/>
              <w:rPr>
                <w:sz w:val="20"/>
                <w:szCs w:val="20"/>
                <w:color w:val="auto"/>
              </w:rPr>
            </w:pPr>
            <w:r>
              <w:rPr>
                <w:rFonts w:ascii="Arial" w:cs="Arial" w:eastAsia="Arial" w:hAnsi="Arial"/>
                <w:sz w:val="15"/>
                <w:szCs w:val="15"/>
                <w:color w:val="auto"/>
              </w:rPr>
              <w:t>Decoy Grant</w:t>
            </w:r>
          </w:p>
        </w:tc>
        <w:tc>
          <w:tcPr>
            <w:tcW w:w="200" w:type="dxa"/>
            <w:vAlign w:val="bottom"/>
            <w:shd w:val="clear" w:color="auto" w:fill="D2EEF5"/>
          </w:tcPr>
          <w:p>
            <w:pPr>
              <w:spacing w:after="0"/>
              <w:rPr>
                <w:sz w:val="15"/>
                <w:szCs w:val="15"/>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391,305</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5,822</w:t>
            </w:r>
          </w:p>
        </w:tc>
      </w:tr>
      <w:tr>
        <w:trPr>
          <w:trHeight w:val="183"/>
        </w:trPr>
        <w:tc>
          <w:tcPr>
            <w:tcW w:w="1080" w:type="dxa"/>
            <w:vAlign w:val="bottom"/>
          </w:tcPr>
          <w:p>
            <w:pPr>
              <w:spacing w:after="0"/>
              <w:rPr>
                <w:sz w:val="15"/>
                <w:szCs w:val="15"/>
                <w:color w:val="auto"/>
              </w:rPr>
            </w:pPr>
          </w:p>
        </w:tc>
        <w:tc>
          <w:tcPr>
            <w:tcW w:w="6360" w:type="dxa"/>
            <w:vAlign w:val="bottom"/>
            <w:gridSpan w:val="2"/>
          </w:tcPr>
          <w:p>
            <w:pPr>
              <w:ind w:left="80"/>
              <w:spacing w:after="0"/>
              <w:rPr>
                <w:sz w:val="20"/>
                <w:szCs w:val="20"/>
                <w:color w:val="auto"/>
              </w:rPr>
            </w:pPr>
            <w:r>
              <w:rPr>
                <w:rFonts w:ascii="Arial" w:cs="Arial" w:eastAsia="Arial" w:hAnsi="Arial"/>
                <w:sz w:val="15"/>
                <w:szCs w:val="15"/>
                <w:color w:val="auto"/>
              </w:rPr>
              <w:t>SBIR NHL Grant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665,000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665,000</w:t>
            </w:r>
          </w:p>
        </w:tc>
      </w:tr>
      <w:tr>
        <w:trPr>
          <w:trHeight w:val="183"/>
        </w:trPr>
        <w:tc>
          <w:tcPr>
            <w:tcW w:w="1080" w:type="dxa"/>
            <w:vAlign w:val="bottom"/>
          </w:tcPr>
          <w:p>
            <w:pPr>
              <w:spacing w:after="0"/>
              <w:rPr>
                <w:sz w:val="15"/>
                <w:szCs w:val="15"/>
                <w:color w:val="auto"/>
              </w:rPr>
            </w:pPr>
          </w:p>
        </w:tc>
        <w:tc>
          <w:tcPr>
            <w:tcW w:w="6360" w:type="dxa"/>
            <w:vAlign w:val="bottom"/>
            <w:gridSpan w:val="2"/>
            <w:shd w:val="clear" w:color="auto" w:fill="D2EEF5"/>
          </w:tcPr>
          <w:p>
            <w:pPr>
              <w:ind w:left="80"/>
              <w:spacing w:after="0"/>
              <w:rPr>
                <w:sz w:val="20"/>
                <w:szCs w:val="20"/>
                <w:color w:val="auto"/>
              </w:rPr>
            </w:pPr>
            <w:r>
              <w:rPr>
                <w:rFonts w:ascii="Arial" w:cs="Arial" w:eastAsia="Arial" w:hAnsi="Arial"/>
                <w:sz w:val="15"/>
                <w:szCs w:val="15"/>
                <w:color w:val="auto"/>
              </w:rPr>
              <w:t>PANACEA Grant</w:t>
            </w:r>
          </w:p>
        </w:tc>
        <w:tc>
          <w:tcPr>
            <w:tcW w:w="200" w:type="dxa"/>
            <w:vAlign w:val="bottom"/>
            <w:shd w:val="clear" w:color="auto" w:fill="D2EEF5"/>
          </w:tcPr>
          <w:p>
            <w:pPr>
              <w:spacing w:after="0"/>
              <w:rPr>
                <w:sz w:val="15"/>
                <w:szCs w:val="15"/>
                <w:color w:val="auto"/>
              </w:rPr>
            </w:pPr>
          </w:p>
        </w:tc>
        <w:tc>
          <w:tcPr>
            <w:tcW w:w="7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425,670</w:t>
            </w:r>
          </w:p>
        </w:tc>
        <w:tc>
          <w:tcPr>
            <w:tcW w:w="1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7,177</w:t>
            </w:r>
          </w:p>
        </w:tc>
      </w:tr>
      <w:tr>
        <w:trPr>
          <w:trHeight w:val="183"/>
        </w:trPr>
        <w:tc>
          <w:tcPr>
            <w:tcW w:w="1080" w:type="dxa"/>
            <w:vAlign w:val="bottom"/>
          </w:tcPr>
          <w:p>
            <w:pPr>
              <w:spacing w:after="0"/>
              <w:rPr>
                <w:sz w:val="15"/>
                <w:szCs w:val="15"/>
                <w:color w:val="auto"/>
              </w:rPr>
            </w:pPr>
          </w:p>
        </w:tc>
        <w:tc>
          <w:tcPr>
            <w:tcW w:w="6360" w:type="dxa"/>
            <w:vAlign w:val="bottom"/>
            <w:tcBorders>
              <w:bottom w:val="single" w:sz="8" w:color="D2EEF5"/>
            </w:tcBorders>
            <w:gridSpan w:val="2"/>
          </w:tcPr>
          <w:p>
            <w:pPr>
              <w:ind w:left="80"/>
              <w:spacing w:after="0" w:line="183" w:lineRule="exact"/>
              <w:rPr>
                <w:sz w:val="20"/>
                <w:szCs w:val="20"/>
                <w:color w:val="auto"/>
              </w:rPr>
            </w:pPr>
            <w:r>
              <w:rPr>
                <w:rFonts w:ascii="Arial" w:cs="Arial" w:eastAsia="Arial" w:hAnsi="Arial"/>
                <w:sz w:val="15"/>
                <w:szCs w:val="15"/>
                <w:color w:val="auto"/>
              </w:rPr>
              <w:t>CPRIT Pancreatic Grant</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573,994</w:t>
            </w:r>
          </w:p>
        </w:tc>
        <w:tc>
          <w:tcPr>
            <w:tcW w:w="160" w:type="dxa"/>
            <w:vAlign w:val="bottom"/>
            <w:tcBorders>
              <w:bottom w:val="single" w:sz="8" w:color="D2EEF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1080" w:type="dxa"/>
            <w:vAlign w:val="bottom"/>
          </w:tcPr>
          <w:p>
            <w:pPr>
              <w:spacing w:after="0"/>
              <w:rPr>
                <w:sz w:val="15"/>
                <w:szCs w:val="15"/>
                <w:color w:val="auto"/>
              </w:rPr>
            </w:pPr>
          </w:p>
        </w:tc>
        <w:tc>
          <w:tcPr>
            <w:tcW w:w="6360" w:type="dxa"/>
            <w:vAlign w:val="bottom"/>
            <w:tcBorders>
              <w:bottom w:val="single" w:sz="8" w:color="D2EEF5"/>
            </w:tcBorders>
            <w:gridSpan w:val="2"/>
            <w:shd w:val="clear" w:color="auto" w:fill="D2EEF5"/>
          </w:tcPr>
          <w:p>
            <w:pPr>
              <w:spacing w:after="0"/>
              <w:rPr>
                <w:sz w:val="20"/>
                <w:szCs w:val="20"/>
                <w:color w:val="auto"/>
              </w:rPr>
            </w:pPr>
            <w:r>
              <w:rPr>
                <w:rFonts w:ascii="Arial" w:cs="Arial" w:eastAsia="Arial" w:hAnsi="Arial"/>
                <w:sz w:val="15"/>
                <w:szCs w:val="15"/>
                <w:color w:val="auto"/>
              </w:rPr>
              <w:t>Total grant income</w:t>
            </w:r>
          </w:p>
        </w:tc>
        <w:tc>
          <w:tcPr>
            <w:tcW w:w="200" w:type="dxa"/>
            <w:vAlign w:val="bottom"/>
            <w:tcBorders>
              <w:bottom w:val="single" w:sz="8" w:color="auto"/>
            </w:tcBorders>
            <w:shd w:val="clear" w:color="auto" w:fill="D2EEF5"/>
          </w:tcPr>
          <w:p>
            <w:pPr>
              <w:jc w:val="right"/>
              <w:ind w:right="44"/>
              <w:spacing w:after="0"/>
              <w:rPr>
                <w:sz w:val="20"/>
                <w:szCs w:val="20"/>
                <w:color w:val="auto"/>
              </w:rPr>
            </w:pPr>
            <w:r>
              <w:rPr>
                <w:rFonts w:ascii="Arial" w:cs="Arial" w:eastAsia="Arial" w:hAnsi="Arial"/>
                <w:sz w:val="15"/>
                <w:szCs w:val="15"/>
                <w:color w:val="auto"/>
                <w:w w:val="71"/>
                <w:shd w:val="clear" w:color="auto" w:fill="D2EEF5"/>
              </w:rPr>
              <w:t>$</w:t>
            </w:r>
          </w:p>
        </w:tc>
        <w:tc>
          <w:tcPr>
            <w:tcW w:w="7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shd w:val="clear" w:color="auto" w:fill="D2EEF5"/>
              </w:rPr>
              <w:t>3,546,669</w:t>
            </w:r>
          </w:p>
        </w:tc>
        <w:tc>
          <w:tcPr>
            <w:tcW w:w="160" w:type="dxa"/>
            <w:vAlign w:val="bottom"/>
            <w:tcBorders>
              <w:bottom w:val="single" w:sz="8" w:color="D2EEF5"/>
            </w:tcBorders>
            <w:shd w:val="clear" w:color="auto" w:fill="D2EEF5"/>
          </w:tcPr>
          <w:p>
            <w:pPr>
              <w:spacing w:after="0"/>
              <w:rPr>
                <w:sz w:val="15"/>
                <w:szCs w:val="15"/>
                <w:color w:val="auto"/>
              </w:rPr>
            </w:pPr>
          </w:p>
        </w:tc>
        <w:tc>
          <w:tcPr>
            <w:tcW w:w="8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color w:val="auto"/>
                <w:w w:val="71"/>
                <w:shd w:val="clear" w:color="auto" w:fill="D2EEF5"/>
              </w:rPr>
              <w:t>$</w:t>
            </w: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6,591,080</w:t>
            </w:r>
          </w:p>
        </w:tc>
      </w:tr>
      <w:tr>
        <w:trPr>
          <w:trHeight w:val="20"/>
        </w:trPr>
        <w:tc>
          <w:tcPr>
            <w:tcW w:w="1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6"/>
        </w:trPr>
        <w:tc>
          <w:tcPr>
            <w:tcW w:w="10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4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r>
    </w:tbl>
    <w:p>
      <w:pPr>
        <w:spacing w:after="0" w:line="59" w:lineRule="exact"/>
        <w:rPr>
          <w:sz w:val="20"/>
          <w:szCs w:val="20"/>
          <w:color w:val="auto"/>
        </w:rPr>
      </w:pPr>
    </w:p>
    <w:p>
      <w:pPr>
        <w:ind w:left="560" w:hanging="553"/>
        <w:spacing w:after="0"/>
        <w:tabs>
          <w:tab w:leader="none" w:pos="5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Both CPRIT grants are subject to certain revenue-sharing arrangements, as per the grant agreements (see Note 10).</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If qualifying grant income is earned in advance of cash received from grants, it is recognized as revenue and recorded as other receivable (see Note 5).</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NOTE 10:</w:t>
        <w:tab/>
        <w:t>COMMITMENTS AND CONTINGENCIES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Cancer Prevention and Research Institute of Texas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August 2021, the Company received notice of a Product Development Research award totaling approximately $13.1 million from CPRIT to support the Company’s clinical investigation of MT-401 (the “CPRIT AML Grant”). In December 2024, the Company received notice of an additional $9.5 million grant from CPRIT to support the clinical investigation of MT-601 in patients with pancreatic</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ectPr>
          <w:pgSz w:w="11900" w:h="16834" w:orient="portrait"/>
          <w:cols w:equalWidth="0" w:num="1">
            <w:col w:w="10640"/>
          </w:cols>
          <w:pgMar w:left="620" w:top="1440" w:right="634" w:bottom="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cancer (“the CPRIT Pancreatic Grant”). Both CPRIT grants contain identical terms surrounding intellectual property and revenue sharing.</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License Agreement with the Baylor College of Medicine</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clinical trials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Legal Proceedings</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NOTE 11:</w:t>
        <w:tab/>
        <w:t>RELATED PARTY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related party transaction expenses recorded for the years ended December 31, 2025 and 2024, respectively.</w:t>
      </w:r>
    </w:p>
    <w:p>
      <w:pPr>
        <w:spacing w:after="0" w:line="188" w:lineRule="exact"/>
        <w:rPr>
          <w:sz w:val="20"/>
          <w:szCs w:val="20"/>
          <w:color w:val="auto"/>
        </w:rPr>
      </w:pPr>
    </w:p>
    <w:p>
      <w:pPr>
        <w:ind w:left="7920"/>
        <w:spacing w:after="0"/>
        <w:rPr>
          <w:sz w:val="20"/>
          <w:szCs w:val="20"/>
          <w:color w:val="auto"/>
        </w:rPr>
      </w:pPr>
      <w:r>
        <w:rPr>
          <w:rFonts w:ascii="Arial" w:cs="Arial" w:eastAsia="Arial" w:hAnsi="Arial"/>
          <w:sz w:val="12"/>
          <w:szCs w:val="12"/>
          <w:b w:val="1"/>
          <w:bCs w:val="1"/>
          <w:color w:val="auto"/>
        </w:rPr>
        <w:t>For the Years Ended</w:t>
      </w:r>
    </w:p>
    <w:p>
      <w:pPr>
        <w:ind w:left="8080"/>
        <w:spacing w:after="0"/>
        <w:rPr>
          <w:sz w:val="20"/>
          <w:szCs w:val="20"/>
          <w:color w:val="auto"/>
        </w:rPr>
      </w:pPr>
      <w:r>
        <w:rPr>
          <w:rFonts w:ascii="Arial" w:cs="Arial" w:eastAsia="Arial" w:hAnsi="Arial"/>
          <w:sz w:val="12"/>
          <w:szCs w:val="12"/>
          <w:b w:val="1"/>
          <w:bCs w:val="1"/>
          <w:color w:val="auto"/>
        </w:rPr>
        <w:t>December 31,</w:t>
      </w:r>
    </w:p>
    <w:tbl>
      <w:tblPr>
        <w:tblLayout w:type="fixed"/>
        <w:tblInd w:w="1080" w:type="dxa"/>
        <w:tblCellMar>
          <w:top w:w="0" w:type="dxa"/>
          <w:left w:w="0" w:type="dxa"/>
          <w:bottom w:w="0" w:type="dxa"/>
          <w:right w:w="0" w:type="dxa"/>
        </w:tblCellMar>
      </w:tblPr>
      <w:tr>
        <w:trPr>
          <w:trHeight w:val="131"/>
        </w:trPr>
        <w:tc>
          <w:tcPr>
            <w:tcW w:w="6240" w:type="dxa"/>
            <w:vAlign w:val="bottom"/>
            <w:tcBorders>
              <w:bottom w:val="single" w:sz="8" w:color="D2EEF5"/>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27"/>
              <w:spacing w:after="0" w:line="131"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bottom w:val="single" w:sz="8" w:color="D2EEF5"/>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27"/>
              <w:spacing w:after="0" w:line="131" w:lineRule="exact"/>
              <w:rPr>
                <w:sz w:val="20"/>
                <w:szCs w:val="20"/>
                <w:color w:val="auto"/>
              </w:rPr>
            </w:pPr>
            <w:r>
              <w:rPr>
                <w:rFonts w:ascii="Arial" w:cs="Arial" w:eastAsia="Arial" w:hAnsi="Arial"/>
                <w:sz w:val="12"/>
                <w:szCs w:val="12"/>
                <w:b w:val="1"/>
                <w:bCs w:val="1"/>
                <w:color w:val="auto"/>
              </w:rPr>
              <w:t>2024</w:t>
            </w:r>
          </w:p>
        </w:tc>
      </w:tr>
      <w:tr>
        <w:trPr>
          <w:trHeight w:val="174"/>
        </w:trPr>
        <w:tc>
          <w:tcPr>
            <w:tcW w:w="6240" w:type="dxa"/>
            <w:vAlign w:val="bottom"/>
            <w:shd w:val="clear" w:color="auto" w:fill="D2EEF5"/>
          </w:tcPr>
          <w:p>
            <w:pPr>
              <w:spacing w:after="0"/>
              <w:rPr>
                <w:sz w:val="20"/>
                <w:szCs w:val="20"/>
                <w:color w:val="auto"/>
              </w:rPr>
            </w:pPr>
            <w:r>
              <w:rPr>
                <w:rFonts w:ascii="Arial" w:cs="Arial" w:eastAsia="Arial" w:hAnsi="Arial"/>
                <w:sz w:val="15"/>
                <w:szCs w:val="15"/>
                <w:color w:val="auto"/>
              </w:rPr>
              <w:t>Baylor College of Medicine</w:t>
            </w:r>
          </w:p>
        </w:tc>
        <w:tc>
          <w:tcPr>
            <w:tcW w:w="220" w:type="dxa"/>
            <w:vAlign w:val="bottom"/>
            <w:shd w:val="clear" w:color="auto" w:fill="D2EEF5"/>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3,218,138</w:t>
            </w:r>
          </w:p>
        </w:tc>
        <w:tc>
          <w:tcPr>
            <w:tcW w:w="220" w:type="dxa"/>
            <w:vAlign w:val="bottom"/>
            <w:shd w:val="clear" w:color="auto" w:fill="D2EEF5"/>
          </w:tcPr>
          <w:p>
            <w:pPr>
              <w:spacing w:after="0"/>
              <w:rPr>
                <w:sz w:val="15"/>
                <w:szCs w:val="15"/>
                <w:color w:val="auto"/>
              </w:rPr>
            </w:pPr>
          </w:p>
        </w:tc>
        <w:tc>
          <w:tcPr>
            <w:tcW w:w="220" w:type="dxa"/>
            <w:vAlign w:val="bottom"/>
            <w:shd w:val="clear" w:color="auto" w:fill="D2EEF5"/>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6,723</w:t>
            </w:r>
          </w:p>
        </w:tc>
      </w:tr>
      <w:tr>
        <w:trPr>
          <w:trHeight w:val="183"/>
        </w:trPr>
        <w:tc>
          <w:tcPr>
            <w:tcW w:w="6240" w:type="dxa"/>
            <w:vAlign w:val="bottom"/>
          </w:tcPr>
          <w:p>
            <w:pPr>
              <w:spacing w:after="0"/>
              <w:rPr>
                <w:sz w:val="20"/>
                <w:szCs w:val="20"/>
                <w:color w:val="auto"/>
              </w:rPr>
            </w:pPr>
            <w:r>
              <w:rPr>
                <w:rFonts w:ascii="Arial" w:cs="Arial" w:eastAsia="Arial" w:hAnsi="Arial"/>
                <w:sz w:val="15"/>
                <w:szCs w:val="15"/>
                <w:color w:val="auto"/>
              </w:rPr>
              <w:t>Cell Ready</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1,266,804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5,846,456</w:t>
            </w:r>
          </w:p>
        </w:tc>
      </w:tr>
      <w:tr>
        <w:trPr>
          <w:trHeight w:val="203"/>
        </w:trPr>
        <w:tc>
          <w:tcPr>
            <w:tcW w:w="624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Wilson Wolf Manufacturing Corporation</w:t>
            </w:r>
          </w:p>
        </w:tc>
        <w:tc>
          <w:tcPr>
            <w:tcW w:w="220" w:type="dxa"/>
            <w:vAlign w:val="bottom"/>
            <w:tcBorders>
              <w:bottom w:val="single" w:sz="8" w:color="auto"/>
            </w:tcBorders>
            <w:shd w:val="clear" w:color="auto" w:fill="D2EEF5"/>
          </w:tcPr>
          <w:p>
            <w:pPr>
              <w:spacing w:after="0"/>
              <w:rPr>
                <w:sz w:val="17"/>
                <w:szCs w:val="17"/>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83,543</w:t>
            </w:r>
          </w:p>
        </w:tc>
        <w:tc>
          <w:tcPr>
            <w:tcW w:w="220" w:type="dxa"/>
            <w:vAlign w:val="bottom"/>
            <w:tcBorders>
              <w:bottom w:val="single" w:sz="8" w:color="D2EEF5"/>
            </w:tcBorders>
            <w:shd w:val="clear" w:color="auto" w:fill="D2EEF5"/>
          </w:tcPr>
          <w:p>
            <w:pPr>
              <w:spacing w:after="0"/>
              <w:rPr>
                <w:sz w:val="17"/>
                <w:szCs w:val="17"/>
                <w:color w:val="auto"/>
              </w:rPr>
            </w:pPr>
          </w:p>
        </w:tc>
        <w:tc>
          <w:tcPr>
            <w:tcW w:w="220" w:type="dxa"/>
            <w:vAlign w:val="bottom"/>
            <w:tcBorders>
              <w:bottom w:val="single" w:sz="8" w:color="auto"/>
            </w:tcBorders>
            <w:shd w:val="clear" w:color="auto" w:fill="D2EEF5"/>
          </w:tcPr>
          <w:p>
            <w:pPr>
              <w:spacing w:after="0"/>
              <w:rPr>
                <w:sz w:val="17"/>
                <w:szCs w:val="17"/>
                <w:color w:val="auto"/>
              </w:rPr>
            </w:pPr>
          </w:p>
        </w:tc>
        <w:tc>
          <w:tcPr>
            <w:tcW w:w="8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w:t>
            </w:r>
          </w:p>
        </w:tc>
      </w:tr>
      <w:tr>
        <w:trPr>
          <w:trHeight w:val="154"/>
        </w:trPr>
        <w:tc>
          <w:tcPr>
            <w:tcW w:w="6240" w:type="dxa"/>
            <w:vAlign w:val="bottom"/>
          </w:tcPr>
          <w:p>
            <w:pPr>
              <w:spacing w:after="0" w:line="154" w:lineRule="exact"/>
              <w:rPr>
                <w:sz w:val="20"/>
                <w:szCs w:val="20"/>
                <w:color w:val="auto"/>
              </w:rPr>
            </w:pPr>
            <w:r>
              <w:rPr>
                <w:rFonts w:ascii="Arial" w:cs="Arial" w:eastAsia="Arial" w:hAnsi="Arial"/>
                <w:sz w:val="15"/>
                <w:szCs w:val="15"/>
                <w:color w:val="auto"/>
              </w:rPr>
              <w:t>Total Research and development</w:t>
            </w:r>
          </w:p>
        </w:tc>
        <w:tc>
          <w:tcPr>
            <w:tcW w:w="220" w:type="dxa"/>
            <w:vAlign w:val="bottom"/>
            <w:tcBorders>
              <w:bottom w:val="single" w:sz="8" w:color="auto"/>
            </w:tcBorders>
          </w:tcPr>
          <w:p>
            <w:pPr>
              <w:jc w:val="right"/>
              <w:ind w:right="64"/>
              <w:spacing w:after="0" w:line="154"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4,568,485</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5,853,179</w:t>
            </w:r>
          </w:p>
        </w:tc>
      </w:tr>
      <w:tr>
        <w:trPr>
          <w:trHeight w:val="20"/>
        </w:trPr>
        <w:tc>
          <w:tcPr>
            <w:tcW w:w="6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1"/>
        <w:spacing w:after="0" w:line="299" w:lineRule="auto"/>
        <w:rPr>
          <w:sz w:val="20"/>
          <w:szCs w:val="20"/>
          <w:color w:val="auto"/>
        </w:rPr>
      </w:pPr>
      <w:r>
        <w:rPr>
          <w:rFonts w:ascii="Arial" w:cs="Arial" w:eastAsia="Arial" w:hAnsi="Arial"/>
          <w:sz w:val="15"/>
          <w:szCs w:val="15"/>
          <w:color w:val="auto"/>
        </w:rPr>
        <w:t>As of December 31, 2025 and 2024, nil and $1.7 million, respectively, of related party transactions are included in accounts payable and accrued liabilities. See Note 6 for additional information.</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ectPr>
          <w:pgSz w:w="11900" w:h="16834" w:orient="portrait"/>
          <w:cols w:equalWidth="0" w:num="1">
            <w:col w:w="10640"/>
          </w:cols>
          <w:pgMar w:left="620" w:top="1440" w:right="634" w:bottom="0" w:gutter="0" w:footer="0" w:header="0"/>
          <w:type w:val="continuous"/>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Agreements with The Baylor College of Medicine (“BCM”).</w:t>
      </w:r>
    </w:p>
    <w:p>
      <w:pPr>
        <w:spacing w:after="0" w:line="191"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In November 2018, January 2020 and February 2020, the Company entered in Sponsored Research Agreements with BCM, which provided for the conduct of research for the Company by credentialed personnel at BCM’s Center for Cell and Gene Therapy. On April 1, 2025, the Company sighed Amendment #1 to the Sponsored Research and Product Development Agreement with BCM to perform research on “Controlling Tumor Immune Escape in Pancreatic Cancer using a Dual T-Cell Product Strategy.”</w:t>
      </w:r>
    </w:p>
    <w:p>
      <w:pPr>
        <w:spacing w:after="0" w:line="11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September 2019, May 2020 and July 2021, the Company entered into Clinical Supply Agreements with BCM, which provided for BCM to provide to the Company multi tumor antigen specific products.</w:t>
      </w:r>
    </w:p>
    <w:p>
      <w:pPr>
        <w:spacing w:after="0" w:line="119"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In August 2020, the Company entered in a Clinical Trial Agreement with BCM, which provided for BCM to provide to the Company investigator-initiated research studies.</w:t>
      </w:r>
    </w:p>
    <w:p>
      <w:pPr>
        <w:spacing w:after="0" w:line="20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has also entered into a Clinical Site Agreement and Laboratory Service Agreement with BCM, pursuant to which BCM conducts clinical trials for the Company and testing of Marker’s product candidates to develop an optimized potency assay.</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BCM is also a shareholder of the Company’s common stock.</w:t>
      </w:r>
    </w:p>
    <w:p>
      <w:pPr>
        <w:spacing w:after="0" w:line="19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During the years ended December 31, 2025 and 2024, the Company incurred $3.2 million and $7,000 in expenses related to services and manufacturing costs and paid BCM approximately $3.0 million and $0.1 million for invoices received,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Purchases from Wilson Wolf.</w:t>
      </w:r>
    </w:p>
    <w:p>
      <w:pPr>
        <w:spacing w:after="0" w:line="19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2025, the Company utilized Wilson Wolf for the purchases of cell culture devices. Mr. John Wilson is a former director of the Company and is serving as the CEO of Wilson Wolf Manufacturing Corporation.</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During the years ended December 31, 2025 and 2024, the Company incurred approximately $0.1 million and nil, respectively, in expenses related to cell culture devices and paid Wilson Wolf approximately $0.1 million and nil respectively, for invoices received.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Purchases from Cell Ready, LLC.</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has utilized Cell Ready, LLC for clinical manufacturing supply and product development. Cell Ready, which is owned by a former director, Mr. John Wilson, is a contract development and manufacturing organization (“CDMO”). On February 22, 2024, the Company entered into a 3-year Master Services Agreement for Product Supply (the “MSA”) with Cell Ready. During the years ended December 31, 2025 and 2024, the Company incurred $0.8 million and $5.8 million in expenses related to services and manufacturing costs, respectively, and paid $2.6 million and $5.5 million for invoices received, respectively.</w:t>
      </w:r>
    </w:p>
    <w:p>
      <w:pPr>
        <w:spacing w:after="0" w:line="141"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the Company and Cell Ready.</w:t>
      </w:r>
    </w:p>
    <w:p>
      <w:pPr>
        <w:spacing w:after="0" w:line="134"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NOTE 12:</w:t>
        <w:tab/>
        <w:t>INCOME TAXES</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has no federal income tax expense due to operating losses incurred for the years ended December 31, 2025, and 2024, respectively. The Company recognized ($15,156) and $49,953 in state tax (benefit) expense for the years ended December 31, 2025 and 2024, respectively.</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ectPr>
          <w:pgSz w:w="11900" w:h="16834" w:orient="portrait"/>
          <w:cols w:equalWidth="0" w:num="1">
            <w:col w:w="10640"/>
          </w:cols>
          <w:pgMar w:left="620" w:top="1440" w:right="634" w:bottom="0"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The effects of temporary differences that give rise to significant portions of the deferred tax assets as of December 31, 2025 and 2024 are as follows:</w:t>
      </w:r>
    </w:p>
    <w:p>
      <w:pPr>
        <w:spacing w:after="0" w:line="188" w:lineRule="exact"/>
        <w:rPr>
          <w:sz w:val="20"/>
          <w:szCs w:val="20"/>
          <w:color w:val="auto"/>
        </w:rPr>
      </w:pPr>
    </w:p>
    <w:p>
      <w:pPr>
        <w:ind w:left="7840"/>
        <w:spacing w:after="0"/>
        <w:rPr>
          <w:sz w:val="20"/>
          <w:szCs w:val="20"/>
          <w:color w:val="auto"/>
        </w:rPr>
      </w:pPr>
      <w:r>
        <w:rPr>
          <w:rFonts w:ascii="Arial" w:cs="Arial" w:eastAsia="Arial" w:hAnsi="Arial"/>
          <w:sz w:val="12"/>
          <w:szCs w:val="12"/>
          <w:b w:val="1"/>
          <w:bCs w:val="1"/>
          <w:color w:val="auto"/>
        </w:rPr>
        <w:t>For the Years Ended</w:t>
      </w:r>
    </w:p>
    <w:p>
      <w:pPr>
        <w:ind w:left="8000"/>
        <w:spacing w:after="0"/>
        <w:rPr>
          <w:sz w:val="20"/>
          <w:szCs w:val="20"/>
          <w:color w:val="auto"/>
        </w:rPr>
      </w:pPr>
      <w:r>
        <w:rPr>
          <w:rFonts w:ascii="Arial" w:cs="Arial" w:eastAsia="Arial" w:hAnsi="Arial"/>
          <w:sz w:val="12"/>
          <w:szCs w:val="12"/>
          <w:b w:val="1"/>
          <w:bCs w:val="1"/>
          <w:color w:val="auto"/>
        </w:rPr>
        <w:t>December 31,</w:t>
      </w:r>
    </w:p>
    <w:tbl>
      <w:tblPr>
        <w:tblLayout w:type="fixed"/>
        <w:tblInd w:w="1080" w:type="dxa"/>
        <w:tblCellMar>
          <w:top w:w="0" w:type="dxa"/>
          <w:left w:w="0" w:type="dxa"/>
          <w:bottom w:w="0" w:type="dxa"/>
          <w:right w:w="0" w:type="dxa"/>
        </w:tblCellMar>
      </w:tblPr>
      <w:tr>
        <w:trPr>
          <w:trHeight w:val="131"/>
        </w:trPr>
        <w:tc>
          <w:tcPr>
            <w:tcW w:w="4220" w:type="dxa"/>
            <w:vAlign w:val="bottom"/>
            <w:tcBorders>
              <w:bottom w:val="single" w:sz="8" w:color="D2EEF5"/>
            </w:tcBorders>
          </w:tcPr>
          <w:p>
            <w:pPr>
              <w:spacing w:after="0"/>
              <w:rPr>
                <w:sz w:val="11"/>
                <w:szCs w:val="11"/>
                <w:color w:val="auto"/>
              </w:rPr>
            </w:pPr>
          </w:p>
        </w:tc>
        <w:tc>
          <w:tcPr>
            <w:tcW w:w="1860" w:type="dxa"/>
            <w:vAlign w:val="bottom"/>
            <w:tcBorders>
              <w:bottom w:val="single" w:sz="8" w:color="D2EEF5"/>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85"/>
              <w:spacing w:after="0" w:line="131" w:lineRule="exact"/>
              <w:rPr>
                <w:sz w:val="20"/>
                <w:szCs w:val="20"/>
                <w:color w:val="auto"/>
              </w:rPr>
            </w:pPr>
            <w:r>
              <w:rPr>
                <w:rFonts w:ascii="Arial" w:cs="Arial" w:eastAsia="Arial" w:hAnsi="Arial"/>
                <w:sz w:val="12"/>
                <w:szCs w:val="12"/>
                <w:b w:val="1"/>
                <w:bCs w:val="1"/>
                <w:color w:val="auto"/>
              </w:rPr>
              <w:t>2025</w:t>
            </w:r>
          </w:p>
        </w:tc>
        <w:tc>
          <w:tcPr>
            <w:tcW w:w="60" w:type="dxa"/>
            <w:vAlign w:val="bottom"/>
            <w:tcBorders>
              <w:top w:val="single" w:sz="8" w:color="auto"/>
              <w:bottom w:val="single" w:sz="8" w:color="D2EEF5"/>
            </w:tcBorders>
          </w:tcPr>
          <w:p>
            <w:pPr>
              <w:spacing w:after="0"/>
              <w:rPr>
                <w:sz w:val="11"/>
                <w:szCs w:val="11"/>
                <w:color w:val="auto"/>
              </w:rPr>
            </w:pPr>
          </w:p>
        </w:tc>
        <w:tc>
          <w:tcPr>
            <w:tcW w:w="80" w:type="dxa"/>
            <w:vAlign w:val="bottom"/>
            <w:tcBorders>
              <w:top w:val="single" w:sz="8" w:color="auto"/>
              <w:bottom w:val="single" w:sz="8" w:color="D2EEF5"/>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65"/>
              <w:spacing w:after="0" w:line="131"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r>
      <w:tr>
        <w:trPr>
          <w:trHeight w:val="174"/>
        </w:trPr>
        <w:tc>
          <w:tcPr>
            <w:tcW w:w="4220" w:type="dxa"/>
            <w:vAlign w:val="bottom"/>
            <w:shd w:val="clear" w:color="auto" w:fill="D2EEF5"/>
          </w:tcPr>
          <w:p>
            <w:pPr>
              <w:spacing w:after="0"/>
              <w:rPr>
                <w:sz w:val="20"/>
                <w:szCs w:val="20"/>
                <w:color w:val="auto"/>
              </w:rPr>
            </w:pPr>
            <w:r>
              <w:rPr>
                <w:rFonts w:ascii="Arial" w:cs="Arial" w:eastAsia="Arial" w:hAnsi="Arial"/>
                <w:sz w:val="15"/>
                <w:szCs w:val="15"/>
                <w:color w:val="auto"/>
              </w:rPr>
              <w:t>Deferred Tax Assets</w:t>
            </w:r>
          </w:p>
        </w:tc>
        <w:tc>
          <w:tcPr>
            <w:tcW w:w="1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920" w:type="dxa"/>
            <w:vAlign w:val="bottom"/>
            <w:shd w:val="clear" w:color="auto" w:fill="D2EEF5"/>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220" w:type="dxa"/>
            <w:vAlign w:val="bottom"/>
          </w:tcPr>
          <w:p>
            <w:pPr>
              <w:ind w:left="80"/>
              <w:spacing w:after="0"/>
              <w:rPr>
                <w:sz w:val="20"/>
                <w:szCs w:val="20"/>
                <w:color w:val="auto"/>
              </w:rPr>
            </w:pPr>
            <w:r>
              <w:rPr>
                <w:rFonts w:ascii="Arial" w:cs="Arial" w:eastAsia="Arial" w:hAnsi="Arial"/>
                <w:sz w:val="15"/>
                <w:szCs w:val="15"/>
                <w:color w:val="auto"/>
              </w:rPr>
              <w:t>Net Operating Loss Carryforward</w:t>
            </w:r>
          </w:p>
        </w:tc>
        <w:tc>
          <w:tcPr>
            <w:tcW w:w="208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40,896,185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30,724,771</w:t>
            </w:r>
          </w:p>
        </w:tc>
        <w:tc>
          <w:tcPr>
            <w:tcW w:w="20" w:type="dxa"/>
            <w:vAlign w:val="bottom"/>
          </w:tcPr>
          <w:p>
            <w:pPr>
              <w:spacing w:after="0"/>
              <w:rPr>
                <w:sz w:val="15"/>
                <w:szCs w:val="15"/>
                <w:color w:val="auto"/>
              </w:rPr>
            </w:pPr>
          </w:p>
        </w:tc>
      </w:tr>
      <w:tr>
        <w:trPr>
          <w:trHeight w:val="183"/>
        </w:trPr>
        <w:tc>
          <w:tcPr>
            <w:tcW w:w="4220" w:type="dxa"/>
            <w:vAlign w:val="bottom"/>
            <w:shd w:val="clear" w:color="auto" w:fill="D2EEF5"/>
          </w:tcPr>
          <w:p>
            <w:pPr>
              <w:ind w:left="80"/>
              <w:spacing w:after="0"/>
              <w:rPr>
                <w:sz w:val="20"/>
                <w:szCs w:val="20"/>
                <w:color w:val="auto"/>
              </w:rPr>
            </w:pPr>
            <w:r>
              <w:rPr>
                <w:rFonts w:ascii="Arial" w:cs="Arial" w:eastAsia="Arial" w:hAnsi="Arial"/>
                <w:sz w:val="15"/>
                <w:szCs w:val="15"/>
                <w:color w:val="auto"/>
              </w:rPr>
              <w:t>Stock Compensation</w:t>
            </w:r>
          </w:p>
        </w:tc>
        <w:tc>
          <w:tcPr>
            <w:tcW w:w="1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9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1,548,803</w:t>
            </w:r>
          </w:p>
        </w:tc>
        <w:tc>
          <w:tcPr>
            <w:tcW w:w="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1,670,477</w:t>
            </w:r>
          </w:p>
        </w:tc>
        <w:tc>
          <w:tcPr>
            <w:tcW w:w="20" w:type="dxa"/>
            <w:vAlign w:val="bottom"/>
          </w:tcPr>
          <w:p>
            <w:pPr>
              <w:spacing w:after="0"/>
              <w:rPr>
                <w:sz w:val="15"/>
                <w:szCs w:val="15"/>
                <w:color w:val="auto"/>
              </w:rPr>
            </w:pPr>
          </w:p>
        </w:tc>
      </w:tr>
      <w:tr>
        <w:trPr>
          <w:trHeight w:val="183"/>
        </w:trPr>
        <w:tc>
          <w:tcPr>
            <w:tcW w:w="4220" w:type="dxa"/>
            <w:vAlign w:val="bottom"/>
          </w:tcPr>
          <w:p>
            <w:pPr>
              <w:ind w:left="80"/>
              <w:spacing w:after="0"/>
              <w:rPr>
                <w:sz w:val="20"/>
                <w:szCs w:val="20"/>
                <w:color w:val="auto"/>
              </w:rPr>
            </w:pPr>
            <w:r>
              <w:rPr>
                <w:rFonts w:ascii="Arial" w:cs="Arial" w:eastAsia="Arial" w:hAnsi="Arial"/>
                <w:sz w:val="15"/>
                <w:szCs w:val="15"/>
                <w:color w:val="auto"/>
              </w:rPr>
              <w:t>Capitalized R&amp;E</w:t>
            </w: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29,777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7,868,640</w:t>
            </w:r>
          </w:p>
        </w:tc>
        <w:tc>
          <w:tcPr>
            <w:tcW w:w="20" w:type="dxa"/>
            <w:vAlign w:val="bottom"/>
          </w:tcPr>
          <w:p>
            <w:pPr>
              <w:spacing w:after="0"/>
              <w:rPr>
                <w:sz w:val="15"/>
                <w:szCs w:val="15"/>
                <w:color w:val="auto"/>
              </w:rPr>
            </w:pPr>
          </w:p>
        </w:tc>
      </w:tr>
      <w:tr>
        <w:trPr>
          <w:trHeight w:val="183"/>
        </w:trPr>
        <w:tc>
          <w:tcPr>
            <w:tcW w:w="4220" w:type="dxa"/>
            <w:vAlign w:val="bottom"/>
            <w:shd w:val="clear" w:color="auto" w:fill="D2EEF5"/>
          </w:tcPr>
          <w:p>
            <w:pPr>
              <w:ind w:left="80"/>
              <w:spacing w:after="0"/>
              <w:rPr>
                <w:sz w:val="20"/>
                <w:szCs w:val="20"/>
                <w:color w:val="auto"/>
              </w:rPr>
            </w:pPr>
            <w:r>
              <w:rPr>
                <w:rFonts w:ascii="Arial" w:cs="Arial" w:eastAsia="Arial" w:hAnsi="Arial"/>
                <w:sz w:val="15"/>
                <w:szCs w:val="15"/>
                <w:color w:val="auto"/>
              </w:rPr>
              <w:t>Reserves</w:t>
            </w:r>
          </w:p>
        </w:tc>
        <w:tc>
          <w:tcPr>
            <w:tcW w:w="1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94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18,072</w:t>
            </w:r>
          </w:p>
        </w:tc>
        <w:tc>
          <w:tcPr>
            <w:tcW w:w="60" w:type="dxa"/>
            <w:vAlign w:val="bottom"/>
            <w:shd w:val="clear" w:color="auto" w:fill="D2EEF5"/>
          </w:tcPr>
          <w:p>
            <w:pPr>
              <w:spacing w:after="0"/>
              <w:rPr>
                <w:sz w:val="15"/>
                <w:szCs w:val="15"/>
                <w:color w:val="auto"/>
              </w:rPr>
            </w:pPr>
          </w:p>
        </w:tc>
        <w:tc>
          <w:tcPr>
            <w:tcW w:w="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3"/>
        </w:trPr>
        <w:tc>
          <w:tcPr>
            <w:tcW w:w="4220" w:type="dxa"/>
            <w:vAlign w:val="bottom"/>
          </w:tcPr>
          <w:p>
            <w:pPr>
              <w:ind w:left="80"/>
              <w:spacing w:after="0"/>
              <w:rPr>
                <w:sz w:val="20"/>
                <w:szCs w:val="20"/>
                <w:color w:val="auto"/>
              </w:rPr>
            </w:pPr>
            <w:r>
              <w:rPr>
                <w:rFonts w:ascii="Arial" w:cs="Arial" w:eastAsia="Arial" w:hAnsi="Arial"/>
                <w:sz w:val="15"/>
                <w:szCs w:val="15"/>
                <w:color w:val="auto"/>
              </w:rPr>
              <w:t>Accruals</w:t>
            </w: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83"/>
        </w:trPr>
        <w:tc>
          <w:tcPr>
            <w:tcW w:w="4220" w:type="dxa"/>
            <w:vAlign w:val="bottom"/>
            <w:tcBorders>
              <w:bottom w:val="single" w:sz="8" w:color="D2EEF5"/>
            </w:tcBorders>
            <w:shd w:val="clear" w:color="auto" w:fill="D2EEF5"/>
          </w:tcPr>
          <w:p>
            <w:pPr>
              <w:ind w:left="80"/>
              <w:spacing w:after="0"/>
              <w:rPr>
                <w:sz w:val="20"/>
                <w:szCs w:val="20"/>
                <w:color w:val="auto"/>
              </w:rPr>
            </w:pPr>
            <w:r>
              <w:rPr>
                <w:rFonts w:ascii="Arial" w:cs="Arial" w:eastAsia="Arial" w:hAnsi="Arial"/>
                <w:sz w:val="15"/>
                <w:szCs w:val="15"/>
                <w:color w:val="auto"/>
              </w:rPr>
              <w:t>Research and Development</w:t>
            </w:r>
          </w:p>
        </w:tc>
        <w:tc>
          <w:tcPr>
            <w:tcW w:w="1860" w:type="dxa"/>
            <w:vAlign w:val="bottom"/>
            <w:tcBorders>
              <w:bottom w:val="single" w:sz="8" w:color="D2EEF5"/>
            </w:tcBorders>
            <w:shd w:val="clear" w:color="auto" w:fill="D2EEF5"/>
          </w:tcPr>
          <w:p>
            <w:pPr>
              <w:spacing w:after="0"/>
              <w:rPr>
                <w:sz w:val="15"/>
                <w:szCs w:val="15"/>
                <w:color w:val="auto"/>
              </w:rPr>
            </w:pPr>
          </w:p>
        </w:tc>
        <w:tc>
          <w:tcPr>
            <w:tcW w:w="220" w:type="dxa"/>
            <w:vAlign w:val="bottom"/>
            <w:tcBorders>
              <w:bottom w:val="single" w:sz="8" w:color="auto"/>
            </w:tcBorders>
            <w:shd w:val="clear" w:color="auto" w:fill="D2EEF5"/>
          </w:tcPr>
          <w:p>
            <w:pPr>
              <w:spacing w:after="0"/>
              <w:rPr>
                <w:sz w:val="15"/>
                <w:szCs w:val="15"/>
                <w:color w:val="auto"/>
              </w:rPr>
            </w:pPr>
          </w:p>
        </w:tc>
        <w:tc>
          <w:tcPr>
            <w:tcW w:w="94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811,961</w:t>
            </w:r>
          </w:p>
        </w:tc>
        <w:tc>
          <w:tcPr>
            <w:tcW w:w="60" w:type="dxa"/>
            <w:vAlign w:val="bottom"/>
            <w:tcBorders>
              <w:bottom w:val="single" w:sz="8" w:color="D2EEF5"/>
            </w:tcBorders>
            <w:shd w:val="clear" w:color="auto" w:fill="D2EEF5"/>
          </w:tcPr>
          <w:p>
            <w:pPr>
              <w:spacing w:after="0"/>
              <w:rPr>
                <w:sz w:val="15"/>
                <w:szCs w:val="15"/>
                <w:color w:val="auto"/>
              </w:rPr>
            </w:pPr>
          </w:p>
        </w:tc>
        <w:tc>
          <w:tcPr>
            <w:tcW w:w="80" w:type="dxa"/>
            <w:vAlign w:val="bottom"/>
            <w:tcBorders>
              <w:bottom w:val="single" w:sz="8" w:color="D2EEF5"/>
            </w:tcBorders>
            <w:shd w:val="clear" w:color="auto" w:fill="D2EEF5"/>
          </w:tcPr>
          <w:p>
            <w:pPr>
              <w:spacing w:after="0"/>
              <w:rPr>
                <w:sz w:val="15"/>
                <w:szCs w:val="15"/>
                <w:color w:val="auto"/>
              </w:rPr>
            </w:pPr>
          </w:p>
        </w:tc>
        <w:tc>
          <w:tcPr>
            <w:tcW w:w="200" w:type="dxa"/>
            <w:vAlign w:val="bottom"/>
            <w:tcBorders>
              <w:bottom w:val="single" w:sz="8" w:color="auto"/>
            </w:tcBorders>
            <w:shd w:val="clear" w:color="auto" w:fill="D2EEF5"/>
          </w:tcPr>
          <w:p>
            <w:pPr>
              <w:spacing w:after="0"/>
              <w:rPr>
                <w:sz w:val="15"/>
                <w:szCs w:val="15"/>
                <w:color w:val="auto"/>
              </w:rPr>
            </w:pPr>
          </w:p>
        </w:tc>
        <w:tc>
          <w:tcPr>
            <w:tcW w:w="92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733,328</w:t>
            </w:r>
          </w:p>
        </w:tc>
        <w:tc>
          <w:tcPr>
            <w:tcW w:w="20" w:type="dxa"/>
            <w:vAlign w:val="bottom"/>
          </w:tcPr>
          <w:p>
            <w:pPr>
              <w:spacing w:after="0"/>
              <w:rPr>
                <w:sz w:val="15"/>
                <w:szCs w:val="15"/>
                <w:color w:val="auto"/>
              </w:rPr>
            </w:pPr>
          </w:p>
        </w:tc>
      </w:tr>
      <w:tr>
        <w:trPr>
          <w:trHeight w:val="174"/>
        </w:trPr>
        <w:tc>
          <w:tcPr>
            <w:tcW w:w="4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43,325,798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40,997,216</w:t>
            </w:r>
          </w:p>
        </w:tc>
        <w:tc>
          <w:tcPr>
            <w:tcW w:w="20" w:type="dxa"/>
            <w:vAlign w:val="bottom"/>
          </w:tcPr>
          <w:p>
            <w:pPr>
              <w:spacing w:after="0"/>
              <w:rPr>
                <w:sz w:val="15"/>
                <w:szCs w:val="15"/>
                <w:color w:val="auto"/>
              </w:rPr>
            </w:pPr>
          </w:p>
        </w:tc>
      </w:tr>
      <w:tr>
        <w:trPr>
          <w:trHeight w:val="183"/>
        </w:trPr>
        <w:tc>
          <w:tcPr>
            <w:tcW w:w="4220" w:type="dxa"/>
            <w:vAlign w:val="bottom"/>
            <w:shd w:val="clear" w:color="auto" w:fill="D2EEF5"/>
          </w:tcPr>
          <w:p>
            <w:pPr>
              <w:spacing w:after="0"/>
              <w:rPr>
                <w:sz w:val="20"/>
                <w:szCs w:val="20"/>
                <w:color w:val="auto"/>
              </w:rPr>
            </w:pPr>
            <w:r>
              <w:rPr>
                <w:rFonts w:ascii="Arial" w:cs="Arial" w:eastAsia="Arial" w:hAnsi="Arial"/>
                <w:sz w:val="15"/>
                <w:szCs w:val="15"/>
                <w:color w:val="auto"/>
              </w:rPr>
              <w:t>Less: Valuation Allowance</w:t>
            </w:r>
          </w:p>
        </w:tc>
        <w:tc>
          <w:tcPr>
            <w:tcW w:w="1860" w:type="dxa"/>
            <w:vAlign w:val="bottom"/>
            <w:shd w:val="clear" w:color="auto" w:fill="D2EEF5"/>
          </w:tcPr>
          <w:p>
            <w:pPr>
              <w:spacing w:after="0"/>
              <w:rPr>
                <w:sz w:val="15"/>
                <w:szCs w:val="15"/>
                <w:color w:val="auto"/>
              </w:rPr>
            </w:pPr>
          </w:p>
        </w:tc>
        <w:tc>
          <w:tcPr>
            <w:tcW w:w="220" w:type="dxa"/>
            <w:vAlign w:val="bottom"/>
            <w:shd w:val="clear" w:color="auto" w:fill="D2EEF5"/>
          </w:tcPr>
          <w:p>
            <w:pPr>
              <w:spacing w:after="0"/>
              <w:rPr>
                <w:sz w:val="15"/>
                <w:szCs w:val="15"/>
                <w:color w:val="auto"/>
              </w:rPr>
            </w:pPr>
          </w:p>
        </w:tc>
        <w:tc>
          <w:tcPr>
            <w:tcW w:w="1000" w:type="dxa"/>
            <w:vAlign w:val="bottom"/>
            <w:gridSpan w:val="2"/>
            <w:shd w:val="clear" w:color="auto" w:fill="D2EEF5"/>
          </w:tcPr>
          <w:p>
            <w:pPr>
              <w:jc w:val="right"/>
              <w:ind w:right="60"/>
              <w:spacing w:after="0"/>
              <w:rPr>
                <w:sz w:val="20"/>
                <w:szCs w:val="20"/>
                <w:color w:val="auto"/>
              </w:rPr>
            </w:pPr>
            <w:r>
              <w:rPr>
                <w:rFonts w:ascii="Arial" w:cs="Arial" w:eastAsia="Arial" w:hAnsi="Arial"/>
                <w:sz w:val="15"/>
                <w:szCs w:val="15"/>
                <w:color w:val="auto"/>
              </w:rPr>
              <w:t>(43,325,798)</w:t>
            </w:r>
          </w:p>
        </w:tc>
        <w:tc>
          <w:tcPr>
            <w:tcW w:w="80" w:type="dxa"/>
            <w:vAlign w:val="bottom"/>
            <w:shd w:val="clear" w:color="auto" w:fill="D2EEF5"/>
          </w:tcPr>
          <w:p>
            <w:pPr>
              <w:spacing w:after="0"/>
              <w:rPr>
                <w:sz w:val="15"/>
                <w:szCs w:val="15"/>
                <w:color w:val="auto"/>
              </w:rPr>
            </w:pPr>
          </w:p>
        </w:tc>
        <w:tc>
          <w:tcPr>
            <w:tcW w:w="200" w:type="dxa"/>
            <w:vAlign w:val="bottom"/>
            <w:shd w:val="clear" w:color="auto" w:fill="D2EEF5"/>
          </w:tcPr>
          <w:p>
            <w:pPr>
              <w:spacing w:after="0"/>
              <w:rPr>
                <w:sz w:val="15"/>
                <w:szCs w:val="15"/>
                <w:color w:val="auto"/>
              </w:rPr>
            </w:pPr>
          </w:p>
        </w:tc>
        <w:tc>
          <w:tcPr>
            <w:tcW w:w="920" w:type="dxa"/>
            <w:vAlign w:val="bottom"/>
            <w:shd w:val="clear" w:color="auto" w:fill="D2EEF5"/>
          </w:tcPr>
          <w:p>
            <w:pPr>
              <w:jc w:val="right"/>
              <w:spacing w:after="0"/>
              <w:rPr>
                <w:sz w:val="20"/>
                <w:szCs w:val="20"/>
                <w:color w:val="auto"/>
              </w:rPr>
            </w:pPr>
            <w:r>
              <w:rPr>
                <w:rFonts w:ascii="Arial" w:cs="Arial" w:eastAsia="Arial" w:hAnsi="Arial"/>
                <w:sz w:val="15"/>
                <w:szCs w:val="15"/>
                <w:color w:val="auto"/>
              </w:rPr>
              <w:t>(40,997,216)</w:t>
            </w:r>
          </w:p>
        </w:tc>
        <w:tc>
          <w:tcPr>
            <w:tcW w:w="20" w:type="dxa"/>
            <w:vAlign w:val="bottom"/>
          </w:tcPr>
          <w:p>
            <w:pPr>
              <w:spacing w:after="0"/>
              <w:rPr>
                <w:sz w:val="15"/>
                <w:szCs w:val="15"/>
                <w:color w:val="auto"/>
              </w:rPr>
            </w:pPr>
          </w:p>
        </w:tc>
      </w:tr>
      <w:tr>
        <w:trPr>
          <w:trHeight w:val="215"/>
        </w:trPr>
        <w:tc>
          <w:tcPr>
            <w:tcW w:w="422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Total Deferred Tax Assets</w:t>
            </w:r>
          </w:p>
        </w:tc>
        <w:tc>
          <w:tcPr>
            <w:tcW w:w="1860" w:type="dxa"/>
            <w:vAlign w:val="bottom"/>
            <w:tcBorders>
              <w:bottom w:val="single" w:sz="8" w:color="D2EEF5"/>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D2EEF5"/>
            </w:tcBorders>
          </w:tcPr>
          <w:p>
            <w:pPr>
              <w:spacing w:after="0"/>
              <w:rPr>
                <w:sz w:val="18"/>
                <w:szCs w:val="18"/>
                <w:color w:val="auto"/>
              </w:rPr>
            </w:pPr>
          </w:p>
        </w:tc>
        <w:tc>
          <w:tcPr>
            <w:tcW w:w="80" w:type="dxa"/>
            <w:vAlign w:val="bottom"/>
            <w:tcBorders>
              <w:bottom w:val="single" w:sz="8" w:color="D2EEF5"/>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157"/>
        </w:trPr>
        <w:tc>
          <w:tcPr>
            <w:tcW w:w="4220" w:type="dxa"/>
            <w:vAlign w:val="bottom"/>
            <w:shd w:val="clear" w:color="auto" w:fill="D2EEF5"/>
          </w:tcPr>
          <w:p>
            <w:pPr>
              <w:spacing w:after="0"/>
              <w:rPr>
                <w:sz w:val="13"/>
                <w:szCs w:val="13"/>
                <w:color w:val="auto"/>
              </w:rPr>
            </w:pPr>
          </w:p>
        </w:tc>
        <w:tc>
          <w:tcPr>
            <w:tcW w:w="1860" w:type="dxa"/>
            <w:vAlign w:val="bottom"/>
            <w:shd w:val="clear" w:color="auto" w:fill="D2EEF5"/>
          </w:tcPr>
          <w:p>
            <w:pPr>
              <w:spacing w:after="0"/>
              <w:rPr>
                <w:sz w:val="13"/>
                <w:szCs w:val="13"/>
                <w:color w:val="auto"/>
              </w:rPr>
            </w:pPr>
          </w:p>
        </w:tc>
        <w:tc>
          <w:tcPr>
            <w:tcW w:w="220" w:type="dxa"/>
            <w:vAlign w:val="bottom"/>
            <w:tcBorders>
              <w:bottom w:val="single" w:sz="8" w:color="auto"/>
            </w:tcBorders>
            <w:shd w:val="clear" w:color="auto" w:fill="D2EEF5"/>
          </w:tcPr>
          <w:p>
            <w:pPr>
              <w:spacing w:after="0"/>
              <w:rPr>
                <w:sz w:val="13"/>
                <w:szCs w:val="13"/>
                <w:color w:val="auto"/>
              </w:rPr>
            </w:pPr>
          </w:p>
        </w:tc>
        <w:tc>
          <w:tcPr>
            <w:tcW w:w="940" w:type="dxa"/>
            <w:vAlign w:val="bottom"/>
            <w:tcBorders>
              <w:bottom w:val="single" w:sz="8" w:color="auto"/>
            </w:tcBorders>
            <w:shd w:val="clear" w:color="auto" w:fill="D2EEF5"/>
          </w:tcPr>
          <w:p>
            <w:pPr>
              <w:spacing w:after="0"/>
              <w:rPr>
                <w:sz w:val="13"/>
                <w:szCs w:val="13"/>
                <w:color w:val="auto"/>
              </w:rPr>
            </w:pPr>
          </w:p>
        </w:tc>
        <w:tc>
          <w:tcPr>
            <w:tcW w:w="60" w:type="dxa"/>
            <w:vAlign w:val="bottom"/>
            <w:shd w:val="clear" w:color="auto" w:fill="D2EEF5"/>
          </w:tcPr>
          <w:p>
            <w:pPr>
              <w:spacing w:after="0"/>
              <w:rPr>
                <w:sz w:val="13"/>
                <w:szCs w:val="13"/>
                <w:color w:val="auto"/>
              </w:rPr>
            </w:pPr>
          </w:p>
        </w:tc>
        <w:tc>
          <w:tcPr>
            <w:tcW w:w="80" w:type="dxa"/>
            <w:vAlign w:val="bottom"/>
            <w:shd w:val="clear" w:color="auto" w:fill="D2EEF5"/>
          </w:tcPr>
          <w:p>
            <w:pPr>
              <w:spacing w:after="0"/>
              <w:rPr>
                <w:sz w:val="13"/>
                <w:szCs w:val="13"/>
                <w:color w:val="auto"/>
              </w:rPr>
            </w:pPr>
          </w:p>
        </w:tc>
        <w:tc>
          <w:tcPr>
            <w:tcW w:w="200" w:type="dxa"/>
            <w:vAlign w:val="bottom"/>
            <w:tcBorders>
              <w:bottom w:val="single" w:sz="8" w:color="auto"/>
            </w:tcBorders>
            <w:shd w:val="clear" w:color="auto" w:fill="D2EEF5"/>
          </w:tcPr>
          <w:p>
            <w:pPr>
              <w:spacing w:after="0"/>
              <w:rPr>
                <w:sz w:val="13"/>
                <w:szCs w:val="13"/>
                <w:color w:val="auto"/>
              </w:rPr>
            </w:pPr>
          </w:p>
        </w:tc>
        <w:tc>
          <w:tcPr>
            <w:tcW w:w="920" w:type="dxa"/>
            <w:vAlign w:val="bottom"/>
            <w:tcBorders>
              <w:bottom w:val="single" w:sz="8" w:color="auto"/>
            </w:tcBorders>
            <w:shd w:val="clear" w:color="auto" w:fill="D2EEF5"/>
          </w:tcPr>
          <w:p>
            <w:pPr>
              <w:spacing w:after="0"/>
              <w:rPr>
                <w:sz w:val="13"/>
                <w:szCs w:val="13"/>
                <w:color w:val="auto"/>
              </w:rPr>
            </w:pPr>
          </w:p>
        </w:tc>
        <w:tc>
          <w:tcPr>
            <w:tcW w:w="20" w:type="dxa"/>
            <w:vAlign w:val="bottom"/>
          </w:tcPr>
          <w:p>
            <w:pPr>
              <w:spacing w:after="0"/>
              <w:rPr>
                <w:sz w:val="13"/>
                <w:szCs w:val="13"/>
                <w:color w:val="auto"/>
              </w:rPr>
            </w:pPr>
          </w:p>
        </w:tc>
      </w:tr>
      <w:tr>
        <w:trPr>
          <w:trHeight w:val="214"/>
        </w:trPr>
        <w:tc>
          <w:tcPr>
            <w:tcW w:w="4220" w:type="dxa"/>
            <w:vAlign w:val="bottom"/>
            <w:tcBorders>
              <w:bottom w:val="single" w:sz="8" w:color="D2EEF5"/>
            </w:tcBorders>
          </w:tcPr>
          <w:p>
            <w:pPr>
              <w:spacing w:after="0"/>
              <w:rPr>
                <w:sz w:val="20"/>
                <w:szCs w:val="20"/>
                <w:color w:val="auto"/>
              </w:rPr>
            </w:pPr>
            <w:r>
              <w:rPr>
                <w:rFonts w:ascii="Arial" w:cs="Arial" w:eastAsia="Arial" w:hAnsi="Arial"/>
                <w:sz w:val="15"/>
                <w:szCs w:val="15"/>
                <w:color w:val="auto"/>
              </w:rPr>
              <w:t>Total Deferred Tax Liabilities</w:t>
            </w:r>
          </w:p>
        </w:tc>
        <w:tc>
          <w:tcPr>
            <w:tcW w:w="1860" w:type="dxa"/>
            <w:vAlign w:val="bottom"/>
            <w:tcBorders>
              <w:bottom w:val="single" w:sz="8" w:color="D2EEF5"/>
            </w:tcBorders>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D2EEF5"/>
            </w:tcBorders>
          </w:tcPr>
          <w:p>
            <w:pPr>
              <w:spacing w:after="0"/>
              <w:rPr>
                <w:sz w:val="18"/>
                <w:szCs w:val="18"/>
                <w:color w:val="auto"/>
              </w:rPr>
            </w:pPr>
          </w:p>
        </w:tc>
        <w:tc>
          <w:tcPr>
            <w:tcW w:w="80" w:type="dxa"/>
            <w:vAlign w:val="bottom"/>
            <w:tcBorders>
              <w:bottom w:val="single" w:sz="8" w:color="D2EEF5"/>
            </w:tcBorders>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r>
      <w:tr>
        <w:trPr>
          <w:trHeight w:val="177"/>
        </w:trPr>
        <w:tc>
          <w:tcPr>
            <w:tcW w:w="4220" w:type="dxa"/>
            <w:vAlign w:val="bottom"/>
            <w:tcBorders>
              <w:bottom w:val="single" w:sz="8" w:color="D2EEF5"/>
            </w:tcBorders>
            <w:shd w:val="clear" w:color="auto" w:fill="D2EEF5"/>
          </w:tcPr>
          <w:p>
            <w:pPr>
              <w:spacing w:after="0"/>
              <w:rPr>
                <w:sz w:val="15"/>
                <w:szCs w:val="15"/>
                <w:color w:val="auto"/>
              </w:rPr>
            </w:pPr>
          </w:p>
        </w:tc>
        <w:tc>
          <w:tcPr>
            <w:tcW w:w="1860" w:type="dxa"/>
            <w:vAlign w:val="bottom"/>
            <w:tcBorders>
              <w:bottom w:val="single" w:sz="8" w:color="D2EEF5"/>
            </w:tcBorders>
            <w:shd w:val="clear" w:color="auto" w:fill="D2EEF5"/>
          </w:tcPr>
          <w:p>
            <w:pPr>
              <w:spacing w:after="0"/>
              <w:rPr>
                <w:sz w:val="15"/>
                <w:szCs w:val="15"/>
                <w:color w:val="auto"/>
              </w:rPr>
            </w:pPr>
          </w:p>
        </w:tc>
        <w:tc>
          <w:tcPr>
            <w:tcW w:w="220" w:type="dxa"/>
            <w:vAlign w:val="bottom"/>
            <w:tcBorders>
              <w:bottom w:val="single" w:sz="8" w:color="auto"/>
            </w:tcBorders>
            <w:shd w:val="clear" w:color="auto" w:fill="D2EEF5"/>
          </w:tcPr>
          <w:p>
            <w:pPr>
              <w:spacing w:after="0"/>
              <w:rPr>
                <w:sz w:val="15"/>
                <w:szCs w:val="15"/>
                <w:color w:val="auto"/>
              </w:rPr>
            </w:pPr>
          </w:p>
        </w:tc>
        <w:tc>
          <w:tcPr>
            <w:tcW w:w="940" w:type="dxa"/>
            <w:vAlign w:val="bottom"/>
            <w:tcBorders>
              <w:bottom w:val="single" w:sz="8" w:color="auto"/>
            </w:tcBorders>
            <w:shd w:val="clear" w:color="auto" w:fill="D2EEF5"/>
          </w:tcPr>
          <w:p>
            <w:pPr>
              <w:spacing w:after="0"/>
              <w:rPr>
                <w:sz w:val="15"/>
                <w:szCs w:val="15"/>
                <w:color w:val="auto"/>
              </w:rPr>
            </w:pPr>
          </w:p>
        </w:tc>
        <w:tc>
          <w:tcPr>
            <w:tcW w:w="60" w:type="dxa"/>
            <w:vAlign w:val="bottom"/>
            <w:tcBorders>
              <w:bottom w:val="single" w:sz="8" w:color="D2EEF5"/>
            </w:tcBorders>
            <w:shd w:val="clear" w:color="auto" w:fill="D2EEF5"/>
          </w:tcPr>
          <w:p>
            <w:pPr>
              <w:spacing w:after="0"/>
              <w:rPr>
                <w:sz w:val="15"/>
                <w:szCs w:val="15"/>
                <w:color w:val="auto"/>
              </w:rPr>
            </w:pPr>
          </w:p>
        </w:tc>
        <w:tc>
          <w:tcPr>
            <w:tcW w:w="80" w:type="dxa"/>
            <w:vAlign w:val="bottom"/>
            <w:tcBorders>
              <w:bottom w:val="single" w:sz="8" w:color="D2EEF5"/>
            </w:tcBorders>
            <w:shd w:val="clear" w:color="auto" w:fill="D2EEF5"/>
          </w:tcPr>
          <w:p>
            <w:pPr>
              <w:spacing w:after="0"/>
              <w:rPr>
                <w:sz w:val="15"/>
                <w:szCs w:val="15"/>
                <w:color w:val="auto"/>
              </w:rPr>
            </w:pPr>
          </w:p>
        </w:tc>
        <w:tc>
          <w:tcPr>
            <w:tcW w:w="200" w:type="dxa"/>
            <w:vAlign w:val="bottom"/>
            <w:tcBorders>
              <w:bottom w:val="single" w:sz="8" w:color="auto"/>
            </w:tcBorders>
            <w:shd w:val="clear" w:color="auto" w:fill="D2EEF5"/>
          </w:tcPr>
          <w:p>
            <w:pPr>
              <w:spacing w:after="0"/>
              <w:rPr>
                <w:sz w:val="15"/>
                <w:szCs w:val="15"/>
                <w:color w:val="auto"/>
              </w:rPr>
            </w:pPr>
          </w:p>
        </w:tc>
        <w:tc>
          <w:tcPr>
            <w:tcW w:w="920" w:type="dxa"/>
            <w:vAlign w:val="bottom"/>
            <w:tcBorders>
              <w:bottom w:val="single" w:sz="8" w:color="auto"/>
            </w:tcBorders>
            <w:shd w:val="clear" w:color="auto" w:fill="D2EEF5"/>
          </w:tcPr>
          <w:p>
            <w:pPr>
              <w:spacing w:after="0"/>
              <w:rPr>
                <w:sz w:val="15"/>
                <w:szCs w:val="15"/>
                <w:color w:val="auto"/>
              </w:rPr>
            </w:pPr>
          </w:p>
        </w:tc>
        <w:tc>
          <w:tcPr>
            <w:tcW w:w="20" w:type="dxa"/>
            <w:vAlign w:val="bottom"/>
          </w:tcPr>
          <w:p>
            <w:pPr>
              <w:spacing w:after="0"/>
              <w:rPr>
                <w:sz w:val="15"/>
                <w:szCs w:val="15"/>
                <w:color w:val="auto"/>
              </w:rPr>
            </w:pPr>
          </w:p>
        </w:tc>
      </w:tr>
      <w:tr>
        <w:trPr>
          <w:trHeight w:val="154"/>
        </w:trPr>
        <w:tc>
          <w:tcPr>
            <w:tcW w:w="4220" w:type="dxa"/>
            <w:vAlign w:val="bottom"/>
          </w:tcPr>
          <w:p>
            <w:pPr>
              <w:spacing w:after="0" w:line="154" w:lineRule="exact"/>
              <w:rPr>
                <w:sz w:val="20"/>
                <w:szCs w:val="20"/>
                <w:color w:val="auto"/>
              </w:rPr>
            </w:pPr>
            <w:r>
              <w:rPr>
                <w:rFonts w:ascii="Arial" w:cs="Arial" w:eastAsia="Arial" w:hAnsi="Arial"/>
                <w:sz w:val="15"/>
                <w:szCs w:val="15"/>
                <w:b w:val="1"/>
                <w:bCs w:val="1"/>
                <w:color w:val="auto"/>
              </w:rPr>
              <w:t>Net Deferred Tax Assets/(Liabilities)</w:t>
            </w:r>
          </w:p>
        </w:tc>
        <w:tc>
          <w:tcPr>
            <w:tcW w:w="1860" w:type="dxa"/>
            <w:vAlign w:val="bottom"/>
          </w:tcPr>
          <w:p>
            <w:pPr>
              <w:spacing w:after="0"/>
              <w:rPr>
                <w:sz w:val="13"/>
                <w:szCs w:val="13"/>
                <w:color w:val="auto"/>
              </w:rPr>
            </w:pPr>
          </w:p>
        </w:tc>
        <w:tc>
          <w:tcPr>
            <w:tcW w:w="220" w:type="dxa"/>
            <w:vAlign w:val="bottom"/>
            <w:tcBorders>
              <w:bottom w:val="single" w:sz="8" w:color="auto"/>
            </w:tcBorders>
          </w:tcPr>
          <w:p>
            <w:pPr>
              <w:jc w:val="right"/>
              <w:ind w:right="64"/>
              <w:spacing w:after="0" w:line="154" w:lineRule="exact"/>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44"/>
              <w:spacing w:after="0" w:line="154" w:lineRule="exact"/>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3"/>
                <w:szCs w:val="13"/>
                <w:color w:val="auto"/>
              </w:rPr>
            </w:pPr>
          </w:p>
        </w:tc>
      </w:tr>
      <w:tr>
        <w:trPr>
          <w:trHeight w:val="20"/>
        </w:trPr>
        <w:tc>
          <w:tcPr>
            <w:tcW w:w="4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2025 and 2024.</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Company has approximately $186.8 million of federal and $38.6 million of state Net Operating Losses (“NOL”s) that may be available to offset future taxable income, if any. The federal net operating loss carryforwards of $38.4 million, if not utilized, will expire between 2030 and 2037. The federal net operating loss carryforwards of $148.4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$16.7 million generated in 2018 and thereafter are subject to an 80% limitation on taxable income, do not expire and will carry forward indefinitely.</w:t>
      </w:r>
    </w:p>
    <w:p>
      <w:pPr>
        <w:spacing w:after="0" w:line="8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 has federal and state research and development tax credit carryforwards of $0.7 million and $0.1 million, respectively, available to offset future federal income taxes. The research and development tax credit carryforwards begin to expire in 2030.</w:t>
      </w:r>
    </w:p>
    <w:p>
      <w:pPr>
        <w:spacing w:after="0" w:line="8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6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On July 4, 2025, the One Big Beautiful Bill Act (“OBBBA”) was signed into law. Key corporate tax provisions include the restoration of 100% bonus depreciation, immediate expensing for domestic research and experimental expenditures, changes to Section 163(j) interest limitations, updates to Global Intangible Low-Taxed Income and Foreign-Derived Intangible Income rules, amendments to energy credits, and expanded Section 162(m) aggregation requirements. In accordance with Accounting Standards Codification 740, Income Taxes (“ASC 740”), the effects of the new tax law were recognized in the period of enactment. Due to the Company’s valuation allowance position, the provisions of the OBBBA did not have an impact on the Company’s income tax provision.</w:t>
      </w:r>
    </w:p>
    <w:p>
      <w:pPr>
        <w:spacing w:after="0" w:line="77"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The Company’s income tax returns for 2022 to 2024 are still open and subject to audit. In addition, net operating losses arising from prior years are also subject to examination at the time they are utilized in future years.</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ectPr>
          <w:pgSz w:w="11900" w:h="16834" w:orient="portrait"/>
          <w:cols w:equalWidth="0" w:num="1">
            <w:col w:w="10640"/>
          </w:cols>
          <w:pgMar w:left="620" w:top="1440" w:right="634" w:bottom="0" w:gutter="0" w:footer="0" w:header="0"/>
          <w:type w:val="continuous"/>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For the years ended December 31, 2025, and 2024, the expected tax (benefit) expense based on the U. S. federal statutory rate is reconciled with the actual tax provision (benefit)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2"/>
                <w:szCs w:val="12"/>
                <w:b w:val="1"/>
                <w:bCs w:val="1"/>
                <w:color w:val="auto"/>
                <w:w w:val="98"/>
              </w:rPr>
              <w:t>For the Years Ended December 31,</w:t>
            </w:r>
          </w:p>
        </w:tc>
        <w:tc>
          <w:tcPr>
            <w:tcW w:w="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spacing w:after="0" w:line="117" w:lineRule="exact"/>
              <w:rPr>
                <w:sz w:val="20"/>
                <w:szCs w:val="20"/>
                <w:color w:val="auto"/>
              </w:rPr>
            </w:pPr>
            <w:r>
              <w:rPr>
                <w:rFonts w:ascii="Arial" w:cs="Arial" w:eastAsia="Arial" w:hAnsi="Arial"/>
                <w:sz w:val="12"/>
                <w:szCs w:val="12"/>
                <w:b w:val="1"/>
                <w:bCs w:val="1"/>
                <w:color w:val="auto"/>
              </w:rPr>
              <w:t>2025</w:t>
            </w:r>
          </w:p>
        </w:tc>
        <w:tc>
          <w:tcPr>
            <w:tcW w:w="9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100"/>
              <w:spacing w:after="0" w:line="117" w:lineRule="exact"/>
              <w:rPr>
                <w:sz w:val="20"/>
                <w:szCs w:val="20"/>
                <w:color w:val="auto"/>
              </w:rPr>
            </w:pPr>
            <w:r>
              <w:rPr>
                <w:rFonts w:ascii="Arial" w:cs="Arial" w:eastAsia="Arial" w:hAnsi="Arial"/>
                <w:sz w:val="12"/>
                <w:szCs w:val="12"/>
                <w:b w:val="1"/>
                <w:bCs w:val="1"/>
                <w:color w:val="auto"/>
              </w:rPr>
              <w:t>2024</w:t>
            </w:r>
          </w:p>
        </w:tc>
        <w:tc>
          <w:tcPr>
            <w:tcW w:w="8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jc w:val="right"/>
              <w:ind w:right="130"/>
              <w:spacing w:after="0" w:line="95" w:lineRule="exact"/>
              <w:rPr>
                <w:sz w:val="20"/>
                <w:szCs w:val="20"/>
                <w:color w:val="auto"/>
              </w:rPr>
            </w:pPr>
            <w:r>
              <w:rPr>
                <w:rFonts w:ascii="Arial" w:cs="Arial" w:eastAsia="Arial" w:hAnsi="Arial"/>
                <w:sz w:val="10"/>
                <w:szCs w:val="10"/>
                <w:b w:val="1"/>
                <w:bCs w:val="1"/>
                <w:color w:val="auto"/>
              </w:rPr>
              <w:t>Percent of</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3"/>
            <w:vMerge w:val="restart"/>
          </w:tcPr>
          <w:p>
            <w:pPr>
              <w:jc w:val="right"/>
              <w:ind w:right="560"/>
              <w:spacing w:after="0"/>
              <w:rPr>
                <w:sz w:val="20"/>
                <w:szCs w:val="20"/>
                <w:color w:val="auto"/>
              </w:rPr>
            </w:pPr>
            <w:r>
              <w:rPr>
                <w:rFonts w:ascii="Arial" w:cs="Arial" w:eastAsia="Arial" w:hAnsi="Arial"/>
                <w:sz w:val="12"/>
                <w:szCs w:val="12"/>
                <w:b w:val="1"/>
                <w:bCs w:val="1"/>
                <w:color w:val="auto"/>
              </w:rPr>
              <w:t>Amount</w:t>
            </w:r>
          </w:p>
        </w:tc>
        <w:tc>
          <w:tcPr>
            <w:tcW w:w="880" w:type="dxa"/>
            <w:vAlign w:val="bottom"/>
          </w:tcPr>
          <w:p>
            <w:pPr>
              <w:jc w:val="right"/>
              <w:ind w:right="169"/>
              <w:spacing w:after="0" w:line="95" w:lineRule="exact"/>
              <w:rPr>
                <w:sz w:val="20"/>
                <w:szCs w:val="20"/>
                <w:color w:val="auto"/>
              </w:rPr>
            </w:pPr>
            <w:r>
              <w:rPr>
                <w:rFonts w:ascii="Arial" w:cs="Arial" w:eastAsia="Arial" w:hAnsi="Arial"/>
                <w:sz w:val="10"/>
                <w:szCs w:val="10"/>
                <w:b w:val="1"/>
                <w:bCs w:val="1"/>
                <w:color w:val="auto"/>
              </w:rPr>
              <w:t>Percent of</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2"/>
          </w:tcPr>
          <w:p>
            <w:pPr>
              <w:jc w:val="right"/>
              <w:ind w:right="264"/>
              <w:spacing w:after="0"/>
              <w:rPr>
                <w:sz w:val="20"/>
                <w:szCs w:val="20"/>
                <w:color w:val="auto"/>
              </w:rPr>
            </w:pPr>
            <w:r>
              <w:rPr>
                <w:rFonts w:ascii="Arial" w:cs="Arial" w:eastAsia="Arial" w:hAnsi="Arial"/>
                <w:sz w:val="12"/>
                <w:szCs w:val="12"/>
                <w:b w:val="1"/>
                <w:bCs w:val="1"/>
                <w:color w:val="auto"/>
              </w:rPr>
              <w:t>Pretax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20" w:type="dxa"/>
            <w:vAlign w:val="bottom"/>
            <w:gridSpan w:val="2"/>
          </w:tcPr>
          <w:p>
            <w:pPr>
              <w:jc w:val="right"/>
              <w:ind w:right="344"/>
              <w:spacing w:after="0"/>
              <w:rPr>
                <w:sz w:val="20"/>
                <w:szCs w:val="20"/>
                <w:color w:val="auto"/>
              </w:rPr>
            </w:pPr>
            <w:r>
              <w:rPr>
                <w:rFonts w:ascii="Arial" w:cs="Arial" w:eastAsia="Arial" w:hAnsi="Arial"/>
                <w:sz w:val="12"/>
                <w:szCs w:val="12"/>
                <w:b w:val="1"/>
                <w:bCs w:val="1"/>
                <w:color w:val="auto"/>
                <w:w w:val="99"/>
              </w:rPr>
              <w:t>Pretax Loss</w:t>
            </w:r>
          </w:p>
        </w:tc>
        <w:tc>
          <w:tcPr>
            <w:tcW w:w="0" w:type="dxa"/>
            <w:vAlign w:val="bottom"/>
          </w:tcPr>
          <w:p>
            <w:pPr>
              <w:spacing w:after="0"/>
              <w:rPr>
                <w:sz w:val="1"/>
                <w:szCs w:val="1"/>
                <w:color w:val="auto"/>
              </w:rPr>
            </w:pPr>
          </w:p>
        </w:tc>
      </w:tr>
      <w:tr>
        <w:trPr>
          <w:trHeight w:val="174"/>
        </w:trPr>
        <w:tc>
          <w:tcPr>
            <w:tcW w:w="5820" w:type="dxa"/>
            <w:vAlign w:val="bottom"/>
            <w:tcBorders>
              <w:top w:val="single" w:sz="8" w:color="D2EEF5"/>
            </w:tcBorders>
            <w:shd w:val="clear" w:color="auto" w:fill="D2EEF5"/>
          </w:tcPr>
          <w:p>
            <w:pPr>
              <w:spacing w:after="0"/>
              <w:rPr>
                <w:sz w:val="20"/>
                <w:szCs w:val="20"/>
                <w:color w:val="auto"/>
              </w:rPr>
            </w:pPr>
            <w:r>
              <w:rPr>
                <w:rFonts w:ascii="Arial" w:cs="Arial" w:eastAsia="Arial" w:hAnsi="Arial"/>
                <w:sz w:val="15"/>
                <w:szCs w:val="15"/>
                <w:color w:val="auto"/>
              </w:rPr>
              <w:t>U.S. federal statutory rate</w:t>
            </w:r>
          </w:p>
        </w:tc>
        <w:tc>
          <w:tcPr>
            <w:tcW w:w="200" w:type="dxa"/>
            <w:vAlign w:val="bottom"/>
            <w:tcBorders>
              <w:top w:val="single" w:sz="8" w:color="auto"/>
            </w:tcBorders>
            <w:shd w:val="clear" w:color="auto" w:fill="D2EEF5"/>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(2,557,543)</w:t>
            </w:r>
          </w:p>
        </w:tc>
        <w:tc>
          <w:tcPr>
            <w:tcW w:w="140" w:type="dxa"/>
            <w:vAlign w:val="bottom"/>
            <w:tcBorders>
              <w:top w:val="single" w:sz="8" w:color="D2EEF5"/>
            </w:tcBorders>
            <w:shd w:val="clear" w:color="auto" w:fill="D2EEF5"/>
          </w:tcPr>
          <w:p>
            <w:pPr>
              <w:spacing w:after="0"/>
              <w:rPr>
                <w:sz w:val="15"/>
                <w:szCs w:val="15"/>
                <w:color w:val="auto"/>
              </w:rPr>
            </w:pPr>
          </w:p>
        </w:tc>
        <w:tc>
          <w:tcPr>
            <w:tcW w:w="94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21.00</w:t>
            </w:r>
          </w:p>
        </w:tc>
        <w:tc>
          <w:tcPr>
            <w:tcW w:w="180" w:type="dxa"/>
            <w:vAlign w:val="bottom"/>
            <w:tcBorders>
              <w:top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w w:val="74"/>
              </w:rPr>
              <w:t>%</w:t>
            </w:r>
          </w:p>
        </w:tc>
        <w:tc>
          <w:tcPr>
            <w:tcW w:w="6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(2,243,086)</w:t>
            </w:r>
          </w:p>
        </w:tc>
        <w:tc>
          <w:tcPr>
            <w:tcW w:w="140" w:type="dxa"/>
            <w:vAlign w:val="bottom"/>
            <w:tcBorders>
              <w:top w:val="single" w:sz="8" w:color="D2EEF5"/>
            </w:tcBorders>
            <w:shd w:val="clear" w:color="auto" w:fill="D2EEF5"/>
          </w:tcPr>
          <w:p>
            <w:pPr>
              <w:spacing w:after="0"/>
              <w:rPr>
                <w:sz w:val="15"/>
                <w:szCs w:val="15"/>
                <w:color w:val="auto"/>
              </w:rPr>
            </w:pPr>
          </w:p>
        </w:tc>
        <w:tc>
          <w:tcPr>
            <w:tcW w:w="100" w:type="dxa"/>
            <w:vAlign w:val="bottom"/>
            <w:tcBorders>
              <w:top w:val="single" w:sz="8" w:color="auto"/>
            </w:tcBorders>
            <w:shd w:val="clear" w:color="auto" w:fill="D2EEF5"/>
          </w:tcPr>
          <w:p>
            <w:pPr>
              <w:spacing w:after="0"/>
              <w:rPr>
                <w:sz w:val="15"/>
                <w:szCs w:val="15"/>
                <w:color w:val="auto"/>
              </w:rPr>
            </w:pPr>
          </w:p>
        </w:tc>
        <w:tc>
          <w:tcPr>
            <w:tcW w:w="880" w:type="dxa"/>
            <w:vAlign w:val="bottom"/>
            <w:tcBorders>
              <w:top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21.00</w:t>
            </w:r>
          </w:p>
        </w:tc>
        <w:tc>
          <w:tcPr>
            <w:tcW w:w="240" w:type="dxa"/>
            <w:vAlign w:val="bottom"/>
            <w:tcBorders>
              <w:top w:val="single" w:sz="8" w:color="D2EEF5"/>
            </w:tcBorders>
            <w:shd w:val="clear" w:color="auto" w:fill="D2EEF5"/>
          </w:tcPr>
          <w:p>
            <w:pPr>
              <w:jc w:val="right"/>
              <w:ind w:right="44"/>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(15,156)</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0.10 %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49,953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4"/>
              <w:spacing w:after="0"/>
              <w:rPr>
                <w:sz w:val="20"/>
                <w:szCs w:val="20"/>
                <w:color w:val="auto"/>
              </w:rPr>
            </w:pPr>
            <w:r>
              <w:rPr>
                <w:rFonts w:ascii="Arial" w:cs="Arial" w:eastAsia="Arial" w:hAnsi="Arial"/>
                <w:sz w:val="15"/>
                <w:szCs w:val="15"/>
                <w:color w:val="auto"/>
              </w:rPr>
              <w:t>(0.50)%</w:t>
            </w:r>
          </w:p>
        </w:tc>
        <w:tc>
          <w:tcPr>
            <w:tcW w:w="0" w:type="dxa"/>
            <w:vAlign w:val="bottom"/>
          </w:tcPr>
          <w:p>
            <w:pPr>
              <w:spacing w:after="0"/>
              <w:rPr>
                <w:sz w:val="1"/>
                <w:szCs w:val="1"/>
                <w:color w:val="auto"/>
              </w:rPr>
            </w:pPr>
          </w:p>
        </w:tc>
      </w:tr>
      <w:tr>
        <w:trPr>
          <w:trHeight w:val="183"/>
        </w:trPr>
        <w:tc>
          <w:tcPr>
            <w:tcW w:w="5820" w:type="dxa"/>
            <w:vAlign w:val="bottom"/>
            <w:shd w:val="clear" w:color="auto" w:fill="D2EEF5"/>
          </w:tcPr>
          <w:p>
            <w:pPr>
              <w:spacing w:after="0"/>
              <w:rPr>
                <w:sz w:val="20"/>
                <w:szCs w:val="20"/>
                <w:color w:val="auto"/>
              </w:rPr>
            </w:pPr>
            <w:r>
              <w:rPr>
                <w:rFonts w:ascii="Arial" w:cs="Arial" w:eastAsia="Arial" w:hAnsi="Arial"/>
                <w:sz w:val="15"/>
                <w:szCs w:val="15"/>
                <w:color w:val="auto"/>
              </w:rPr>
              <w:t>Change in valuation allowance</w:t>
            </w:r>
          </w:p>
        </w:tc>
        <w:tc>
          <w:tcPr>
            <w:tcW w:w="200" w:type="dxa"/>
            <w:vAlign w:val="bottom"/>
            <w:shd w:val="clear" w:color="auto" w:fill="D2EEF5"/>
          </w:tcPr>
          <w:p>
            <w:pPr>
              <w:spacing w:after="0"/>
              <w:rPr>
                <w:sz w:val="15"/>
                <w:szCs w:val="15"/>
                <w:color w:val="auto"/>
              </w:rPr>
            </w:pPr>
          </w:p>
        </w:tc>
        <w:tc>
          <w:tcPr>
            <w:tcW w:w="8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2,336,604</w:t>
            </w:r>
          </w:p>
        </w:tc>
        <w:tc>
          <w:tcPr>
            <w:tcW w:w="140" w:type="dxa"/>
            <w:vAlign w:val="bottom"/>
            <w:shd w:val="clear" w:color="auto" w:fill="D2EEF5"/>
          </w:tcPr>
          <w:p>
            <w:pPr>
              <w:spacing w:after="0"/>
              <w:rPr>
                <w:sz w:val="15"/>
                <w:szCs w:val="15"/>
                <w:color w:val="auto"/>
              </w:rPr>
            </w:pPr>
          </w:p>
        </w:tc>
        <w:tc>
          <w:tcPr>
            <w:tcW w:w="1120" w:type="dxa"/>
            <w:vAlign w:val="bottom"/>
            <w:gridSpan w:val="2"/>
            <w:shd w:val="clear" w:color="auto" w:fill="D2EEF5"/>
          </w:tcPr>
          <w:p>
            <w:pPr>
              <w:jc w:val="right"/>
              <w:spacing w:after="0"/>
              <w:rPr>
                <w:sz w:val="20"/>
                <w:szCs w:val="20"/>
                <w:color w:val="auto"/>
              </w:rPr>
            </w:pPr>
            <w:r>
              <w:rPr>
                <w:rFonts w:ascii="Arial" w:cs="Arial" w:eastAsia="Arial" w:hAnsi="Arial"/>
                <w:sz w:val="15"/>
                <w:szCs w:val="15"/>
                <w:color w:val="auto"/>
              </w:rPr>
              <w:t>(19.30)%</w:t>
            </w:r>
          </w:p>
        </w:tc>
        <w:tc>
          <w:tcPr>
            <w:tcW w:w="6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980" w:type="dxa"/>
            <w:vAlign w:val="bottom"/>
            <w:shd w:val="clear" w:color="auto" w:fill="D2EEF5"/>
          </w:tcPr>
          <w:p>
            <w:pPr>
              <w:jc w:val="right"/>
              <w:spacing w:after="0"/>
              <w:rPr>
                <w:sz w:val="20"/>
                <w:szCs w:val="20"/>
                <w:color w:val="auto"/>
              </w:rPr>
            </w:pPr>
            <w:r>
              <w:rPr>
                <w:rFonts w:ascii="Arial" w:cs="Arial" w:eastAsia="Arial" w:hAnsi="Arial"/>
                <w:sz w:val="15"/>
                <w:szCs w:val="15"/>
                <w:color w:val="auto"/>
              </w:rPr>
              <w:t>1,271,570</w:t>
            </w:r>
          </w:p>
        </w:tc>
        <w:tc>
          <w:tcPr>
            <w:tcW w:w="14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1120" w:type="dxa"/>
            <w:vAlign w:val="bottom"/>
            <w:gridSpan w:val="2"/>
            <w:shd w:val="clear" w:color="auto" w:fill="D2EEF5"/>
          </w:tcPr>
          <w:p>
            <w:pPr>
              <w:jc w:val="right"/>
              <w:ind w:right="44"/>
              <w:spacing w:after="0"/>
              <w:rPr>
                <w:sz w:val="20"/>
                <w:szCs w:val="20"/>
                <w:color w:val="auto"/>
              </w:rPr>
            </w:pPr>
            <w:r>
              <w:rPr>
                <w:rFonts w:ascii="Arial" w:cs="Arial" w:eastAsia="Arial" w:hAnsi="Arial"/>
                <w:sz w:val="15"/>
                <w:szCs w:val="15"/>
                <w:color w:val="auto"/>
              </w:rPr>
              <w:t>(11.90)%</w:t>
            </w:r>
          </w:p>
        </w:tc>
        <w:tc>
          <w:tcPr>
            <w:tcW w:w="0" w:type="dxa"/>
            <w:vAlign w:val="bottom"/>
          </w:tcPr>
          <w:p>
            <w:pPr>
              <w:spacing w:after="0"/>
              <w:rPr>
                <w:sz w:val="1"/>
                <w:szCs w:val="1"/>
                <w:color w:val="auto"/>
              </w:rPr>
            </w:pPr>
          </w:p>
        </w:tc>
      </w:tr>
      <w:tr>
        <w:trPr>
          <w:trHeight w:val="183"/>
        </w:trPr>
        <w:tc>
          <w:tcPr>
            <w:tcW w:w="5820" w:type="dxa"/>
            <w:vAlign w:val="bottom"/>
          </w:tcPr>
          <w:p>
            <w:pPr>
              <w:spacing w:after="0"/>
              <w:rPr>
                <w:sz w:val="20"/>
                <w:szCs w:val="20"/>
                <w:color w:val="auto"/>
              </w:rPr>
            </w:pPr>
            <w:r>
              <w:rPr>
                <w:rFonts w:ascii="Arial" w:cs="Arial" w:eastAsia="Arial" w:hAnsi="Arial"/>
                <w:sz w:val="15"/>
                <w:szCs w:val="15"/>
                <w:color w:val="auto"/>
              </w:rPr>
              <w:t>Nontaxable or nondeductible items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90,207</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(0.70)%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27,712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4"/>
              <w:spacing w:after="0"/>
              <w:rPr>
                <w:sz w:val="20"/>
                <w:szCs w:val="20"/>
                <w:color w:val="auto"/>
              </w:rPr>
            </w:pPr>
            <w:r>
              <w:rPr>
                <w:rFonts w:ascii="Arial" w:cs="Arial" w:eastAsia="Arial" w:hAnsi="Arial"/>
                <w:sz w:val="15"/>
                <w:szCs w:val="15"/>
                <w:color w:val="auto"/>
              </w:rPr>
              <w:t>(0.30)%</w:t>
            </w:r>
          </w:p>
        </w:tc>
        <w:tc>
          <w:tcPr>
            <w:tcW w:w="0" w:type="dxa"/>
            <w:vAlign w:val="bottom"/>
          </w:tcPr>
          <w:p>
            <w:pPr>
              <w:spacing w:after="0"/>
              <w:rPr>
                <w:sz w:val="1"/>
                <w:szCs w:val="1"/>
                <w:color w:val="auto"/>
              </w:rPr>
            </w:pPr>
          </w:p>
        </w:tc>
      </w:tr>
      <w:tr>
        <w:trPr>
          <w:trHeight w:val="183"/>
        </w:trPr>
        <w:tc>
          <w:tcPr>
            <w:tcW w:w="5820" w:type="dxa"/>
            <w:vAlign w:val="bottom"/>
            <w:shd w:val="clear" w:color="auto" w:fill="D2EEF5"/>
          </w:tcPr>
          <w:p>
            <w:pPr>
              <w:spacing w:after="0"/>
              <w:rPr>
                <w:sz w:val="20"/>
                <w:szCs w:val="20"/>
                <w:color w:val="auto"/>
              </w:rPr>
            </w:pPr>
            <w:r>
              <w:rPr>
                <w:rFonts w:ascii="Arial" w:cs="Arial" w:eastAsia="Arial" w:hAnsi="Arial"/>
                <w:sz w:val="15"/>
                <w:szCs w:val="15"/>
                <w:color w:val="auto"/>
              </w:rPr>
              <w:t>Other adjustments</w:t>
            </w:r>
          </w:p>
        </w:tc>
        <w:tc>
          <w:tcPr>
            <w:tcW w:w="200" w:type="dxa"/>
            <w:vAlign w:val="bottom"/>
            <w:shd w:val="clear" w:color="auto" w:fill="D2EEF5"/>
          </w:tcPr>
          <w:p>
            <w:pPr>
              <w:spacing w:after="0"/>
              <w:rPr>
                <w:sz w:val="15"/>
                <w:szCs w:val="15"/>
                <w:color w:val="auto"/>
              </w:rPr>
            </w:pPr>
          </w:p>
        </w:tc>
        <w:tc>
          <w:tcPr>
            <w:tcW w:w="86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940" w:type="dxa"/>
            <w:vAlign w:val="bottom"/>
            <w:shd w:val="clear" w:color="auto" w:fill="D2EEF5"/>
          </w:tcPr>
          <w:p>
            <w:pPr>
              <w:spacing w:after="0"/>
              <w:rPr>
                <w:sz w:val="15"/>
                <w:szCs w:val="15"/>
                <w:color w:val="auto"/>
              </w:rPr>
            </w:pPr>
          </w:p>
        </w:tc>
        <w:tc>
          <w:tcPr>
            <w:tcW w:w="180" w:type="dxa"/>
            <w:vAlign w:val="bottom"/>
            <w:shd w:val="clear" w:color="auto" w:fill="D2EEF5"/>
          </w:tcPr>
          <w:p>
            <w:pPr>
              <w:spacing w:after="0"/>
              <w:rPr>
                <w:sz w:val="15"/>
                <w:szCs w:val="15"/>
                <w:color w:val="auto"/>
              </w:rPr>
            </w:pPr>
          </w:p>
        </w:tc>
        <w:tc>
          <w:tcPr>
            <w:tcW w:w="6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980" w:type="dxa"/>
            <w:vAlign w:val="bottom"/>
            <w:shd w:val="clear" w:color="auto" w:fill="D2EEF5"/>
          </w:tcPr>
          <w:p>
            <w:pPr>
              <w:spacing w:after="0"/>
              <w:rPr>
                <w:sz w:val="15"/>
                <w:szCs w:val="15"/>
                <w:color w:val="auto"/>
              </w:rPr>
            </w:pPr>
          </w:p>
        </w:tc>
        <w:tc>
          <w:tcPr>
            <w:tcW w:w="14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880" w:type="dxa"/>
            <w:vAlign w:val="bottom"/>
            <w:shd w:val="clear" w:color="auto" w:fill="D2EEF5"/>
          </w:tcPr>
          <w:p>
            <w:pPr>
              <w:spacing w:after="0"/>
              <w:rPr>
                <w:sz w:val="15"/>
                <w:szCs w:val="15"/>
                <w:color w:val="auto"/>
              </w:rPr>
            </w:pPr>
          </w:p>
        </w:tc>
        <w:tc>
          <w:tcPr>
            <w:tcW w:w="240" w:type="dxa"/>
            <w:vAlign w:val="bottom"/>
            <w:shd w:val="clear" w:color="auto" w:fill="D2EEF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20" w:type="dxa"/>
            <w:vAlign w:val="bottom"/>
          </w:tcPr>
          <w:p>
            <w:pPr>
              <w:ind w:left="200"/>
              <w:spacing w:after="0"/>
              <w:rPr>
                <w:sz w:val="20"/>
                <w:szCs w:val="20"/>
                <w:color w:val="auto"/>
              </w:rPr>
            </w:pPr>
            <w:r>
              <w:rPr>
                <w:rFonts w:ascii="Arial" w:cs="Arial" w:eastAsia="Arial" w:hAnsi="Arial"/>
                <w:sz w:val="15"/>
                <w:szCs w:val="15"/>
                <w:color w:val="auto"/>
              </w:rPr>
              <w:t>SBC cancellations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130,732</w:t>
            </w: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943,804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4"/>
              <w:spacing w:after="0"/>
              <w:rPr>
                <w:sz w:val="20"/>
                <w:szCs w:val="20"/>
                <w:color w:val="auto"/>
              </w:rPr>
            </w:pPr>
            <w:r>
              <w:rPr>
                <w:rFonts w:ascii="Arial" w:cs="Arial" w:eastAsia="Arial" w:hAnsi="Arial"/>
                <w:sz w:val="15"/>
                <w:szCs w:val="15"/>
                <w:color w:val="auto"/>
              </w:rPr>
              <w:t>(8.77)%</w:t>
            </w:r>
          </w:p>
        </w:tc>
        <w:tc>
          <w:tcPr>
            <w:tcW w:w="0" w:type="dxa"/>
            <w:vAlign w:val="bottom"/>
          </w:tcPr>
          <w:p>
            <w:pPr>
              <w:spacing w:after="0"/>
              <w:rPr>
                <w:sz w:val="1"/>
                <w:szCs w:val="1"/>
                <w:color w:val="auto"/>
              </w:rPr>
            </w:pPr>
          </w:p>
        </w:tc>
      </w:tr>
      <w:tr>
        <w:trPr>
          <w:trHeight w:val="174"/>
        </w:trPr>
        <w:tc>
          <w:tcPr>
            <w:tcW w:w="5820" w:type="dxa"/>
            <w:vAlign w:val="bottom"/>
            <w:tcBorders>
              <w:top w:val="single" w:sz="8" w:color="D2EEF5"/>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Income tax provision/(benefit)</w:t>
            </w:r>
          </w:p>
        </w:tc>
        <w:tc>
          <w:tcPr>
            <w:tcW w:w="200" w:type="dxa"/>
            <w:vAlign w:val="bottom"/>
            <w:tcBorders>
              <w:top w:val="single" w:sz="8" w:color="auto"/>
              <w:bottom w:val="single" w:sz="8" w:color="auto"/>
            </w:tcBorders>
            <w:shd w:val="clear" w:color="auto" w:fill="D2EEF5"/>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(15,156)</w:t>
            </w:r>
          </w:p>
        </w:tc>
        <w:tc>
          <w:tcPr>
            <w:tcW w:w="140" w:type="dxa"/>
            <w:vAlign w:val="bottom"/>
            <w:tcBorders>
              <w:top w:val="single" w:sz="8" w:color="D2EEF5"/>
              <w:bottom w:val="single" w:sz="8" w:color="D2EEF5"/>
            </w:tcBorders>
            <w:shd w:val="clear" w:color="auto" w:fill="D2EEF5"/>
          </w:tcPr>
          <w:p>
            <w:pPr>
              <w:spacing w:after="0"/>
              <w:rPr>
                <w:sz w:val="15"/>
                <w:szCs w:val="15"/>
                <w:color w:val="auto"/>
              </w:rPr>
            </w:pPr>
          </w:p>
        </w:tc>
        <w:tc>
          <w:tcPr>
            <w:tcW w:w="94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(0.00)</w:t>
            </w:r>
          </w:p>
        </w:tc>
        <w:tc>
          <w:tcPr>
            <w:tcW w:w="180" w:type="dxa"/>
            <w:vAlign w:val="bottom"/>
            <w:tcBorders>
              <w:top w:val="single" w:sz="8" w:color="D2EEF5"/>
              <w:bottom w:val="single" w:sz="8" w:color="D2EEF5"/>
            </w:tcBorders>
            <w:shd w:val="clear" w:color="auto" w:fill="D2EEF5"/>
          </w:tcPr>
          <w:p>
            <w:pPr>
              <w:jc w:val="right"/>
              <w:spacing w:after="0"/>
              <w:rPr>
                <w:sz w:val="20"/>
                <w:szCs w:val="20"/>
                <w:color w:val="auto"/>
              </w:rPr>
            </w:pPr>
            <w:r>
              <w:rPr>
                <w:rFonts w:ascii="Arial" w:cs="Arial" w:eastAsia="Arial" w:hAnsi="Arial"/>
                <w:sz w:val="15"/>
                <w:szCs w:val="15"/>
                <w:color w:val="auto"/>
                <w:w w:val="74"/>
              </w:rPr>
              <w:t>%</w:t>
            </w:r>
          </w:p>
        </w:tc>
        <w:tc>
          <w:tcPr>
            <w:tcW w:w="60" w:type="dxa"/>
            <w:vAlign w:val="bottom"/>
            <w:tcBorders>
              <w:top w:val="single" w:sz="8" w:color="D2EEF5"/>
              <w:bottom w:val="single" w:sz="8" w:color="D2EEF5"/>
            </w:tcBorders>
            <w:shd w:val="clear" w:color="auto" w:fill="D2EEF5"/>
          </w:tcPr>
          <w:p>
            <w:pPr>
              <w:spacing w:after="0"/>
              <w:rPr>
                <w:sz w:val="15"/>
                <w:szCs w:val="15"/>
                <w:color w:val="auto"/>
              </w:rPr>
            </w:pPr>
          </w:p>
        </w:tc>
        <w:tc>
          <w:tcPr>
            <w:tcW w:w="10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49,953</w:t>
            </w:r>
          </w:p>
        </w:tc>
        <w:tc>
          <w:tcPr>
            <w:tcW w:w="140" w:type="dxa"/>
            <w:vAlign w:val="bottom"/>
            <w:tcBorders>
              <w:top w:val="single" w:sz="8" w:color="D2EEF5"/>
              <w:bottom w:val="single" w:sz="8" w:color="D2EEF5"/>
            </w:tcBorders>
            <w:shd w:val="clear" w:color="auto" w:fill="D2EEF5"/>
          </w:tcPr>
          <w:p>
            <w:pPr>
              <w:spacing w:after="0"/>
              <w:rPr>
                <w:sz w:val="15"/>
                <w:szCs w:val="15"/>
                <w:color w:val="auto"/>
              </w:rPr>
            </w:pPr>
          </w:p>
        </w:tc>
        <w:tc>
          <w:tcPr>
            <w:tcW w:w="100" w:type="dxa"/>
            <w:vAlign w:val="bottom"/>
            <w:tcBorders>
              <w:top w:val="single" w:sz="8" w:color="auto"/>
              <w:bottom w:val="single" w:sz="8" w:color="auto"/>
            </w:tcBorders>
            <w:shd w:val="clear" w:color="auto" w:fill="D2EEF5"/>
          </w:tcPr>
          <w:p>
            <w:pPr>
              <w:spacing w:after="0"/>
              <w:rPr>
                <w:sz w:val="15"/>
                <w:szCs w:val="15"/>
                <w:color w:val="auto"/>
              </w:rPr>
            </w:pPr>
          </w:p>
        </w:tc>
        <w:tc>
          <w:tcPr>
            <w:tcW w:w="880" w:type="dxa"/>
            <w:vAlign w:val="bottom"/>
            <w:tcBorders>
              <w:top w:val="single" w:sz="8" w:color="auto"/>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(0.47)</w:t>
            </w:r>
          </w:p>
        </w:tc>
        <w:tc>
          <w:tcPr>
            <w:tcW w:w="240" w:type="dxa"/>
            <w:vAlign w:val="bottom"/>
            <w:tcBorders>
              <w:top w:val="single" w:sz="8" w:color="D2EEF5"/>
              <w:bottom w:val="single" w:sz="8" w:color="D2EEF5"/>
            </w:tcBorders>
            <w:shd w:val="clear" w:color="auto" w:fill="D2EEF5"/>
          </w:tcPr>
          <w:p>
            <w:pPr>
              <w:jc w:val="right"/>
              <w:ind w:right="44"/>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recognized approximately $15,156 in state tax benefit for the year ended December 31, 2025.</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accordance with ASU 2023-09, Income Taxes (Topic 740): Improvements to Income Tax Disclosures, the Company updated the presentation of its effective tax rate reconciliation to reflect the standardized categories required by the new guidance. The effective tax rate reconciliation for the year ended December 31, 2024 has been recast for comparative purposes to conform to the current-year presentation. The recast was solely for presentation purposes and did not result in any changes to the Company’s previously reported income tax expense, effective tax rate, or other financial statement amounts.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2025, and 2024, there were no unrecognized tax benefits. The Company recognizes accrued interest and penalties as income tax expense. No amounts were accrued for the payment of interest and penalties at December 31, 2025 and 2024. The Company is currently not aware of any issues under review that could result in significant payments, accruals or material deviation from its position in the next year.</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a summary of income tax payments made and income tax refunds received during the year ended December 31, 2025, and 2024 as follows:</w:t>
      </w:r>
    </w:p>
    <w:p>
      <w:pPr>
        <w:spacing w:after="0" w:line="200" w:lineRule="exact"/>
        <w:rPr>
          <w:sz w:val="20"/>
          <w:szCs w:val="20"/>
          <w:color w:val="auto"/>
        </w:rPr>
      </w:pPr>
    </w:p>
    <w:p>
      <w:pPr>
        <w:jc w:val="center"/>
        <w:ind w:left="5880"/>
        <w:spacing w:after="0"/>
        <w:rPr>
          <w:sz w:val="20"/>
          <w:szCs w:val="20"/>
          <w:color w:val="auto"/>
        </w:rPr>
      </w:pPr>
      <w:r>
        <w:rPr>
          <w:rFonts w:ascii="Arial" w:cs="Arial" w:eastAsia="Arial" w:hAnsi="Arial"/>
          <w:sz w:val="12"/>
          <w:szCs w:val="12"/>
          <w:b w:val="1"/>
          <w:bCs w:val="1"/>
          <w:color w:val="auto"/>
        </w:rPr>
        <w:t>For the Years Ended</w:t>
      </w:r>
    </w:p>
    <w:p>
      <w:pPr>
        <w:jc w:val="center"/>
        <w:ind w:left="5880"/>
        <w:spacing w:after="0"/>
        <w:rPr>
          <w:sz w:val="20"/>
          <w:szCs w:val="20"/>
          <w:color w:val="auto"/>
        </w:rPr>
      </w:pPr>
      <w:r>
        <w:rPr>
          <w:rFonts w:ascii="Arial" w:cs="Arial" w:eastAsia="Arial" w:hAnsi="Arial"/>
          <w:sz w:val="12"/>
          <w:szCs w:val="12"/>
          <w:b w:val="1"/>
          <w:bCs w:val="1"/>
          <w:color w:val="auto"/>
        </w:rPr>
        <w:t>December 31,</w:t>
      </w:r>
    </w:p>
    <w:tbl>
      <w:tblPr>
        <w:tblLayout w:type="fixed"/>
        <w:tblInd w:w="106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gridSpan w:val="2"/>
          </w:tcPr>
          <w:p>
            <w:pPr>
              <w:jc w:val="center"/>
              <w:ind w:right="47"/>
              <w:spacing w:after="0" w:line="131" w:lineRule="exact"/>
              <w:rPr>
                <w:sz w:val="20"/>
                <w:szCs w:val="20"/>
                <w:color w:val="auto"/>
              </w:rPr>
            </w:pPr>
            <w:r>
              <w:rPr>
                <w:rFonts w:ascii="Arial" w:cs="Arial" w:eastAsia="Arial" w:hAnsi="Arial"/>
                <w:sz w:val="12"/>
                <w:szCs w:val="12"/>
                <w:b w:val="1"/>
                <w:bCs w:val="1"/>
                <w:color w:val="auto"/>
                <w:w w:val="89"/>
              </w:rPr>
              <w:t>2025</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center"/>
              <w:ind w:right="52"/>
              <w:spacing w:after="0" w:line="131" w:lineRule="exact"/>
              <w:rPr>
                <w:sz w:val="20"/>
                <w:szCs w:val="20"/>
                <w:color w:val="auto"/>
              </w:rPr>
            </w:pPr>
            <w:r>
              <w:rPr>
                <w:rFonts w:ascii="Arial" w:cs="Arial" w:eastAsia="Arial" w:hAnsi="Arial"/>
                <w:sz w:val="12"/>
                <w:szCs w:val="12"/>
                <w:b w:val="1"/>
                <w:bCs w:val="1"/>
                <w:color w:val="auto"/>
                <w:w w:val="89"/>
              </w:rPr>
              <w:t>2024</w:t>
            </w:r>
          </w:p>
        </w:tc>
      </w:tr>
      <w:tr>
        <w:trPr>
          <w:trHeight w:val="94"/>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tcPr>
          <w:p>
            <w:pPr>
              <w:jc w:val="center"/>
              <w:ind w:right="47"/>
              <w:spacing w:after="0" w:line="95" w:lineRule="exact"/>
              <w:rPr>
                <w:sz w:val="20"/>
                <w:szCs w:val="20"/>
                <w:color w:val="auto"/>
              </w:rPr>
            </w:pPr>
            <w:r>
              <w:rPr>
                <w:rFonts w:ascii="Arial" w:cs="Arial" w:eastAsia="Arial" w:hAnsi="Arial"/>
                <w:sz w:val="10"/>
                <w:szCs w:val="10"/>
                <w:b w:val="1"/>
                <w:bCs w:val="1"/>
                <w:color w:val="auto"/>
              </w:rPr>
              <w:t>Payment (Refund)</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jc w:val="center"/>
              <w:ind w:right="52"/>
              <w:spacing w:after="0" w:line="95" w:lineRule="exact"/>
              <w:rPr>
                <w:sz w:val="20"/>
                <w:szCs w:val="20"/>
                <w:color w:val="auto"/>
              </w:rPr>
            </w:pPr>
            <w:r>
              <w:rPr>
                <w:rFonts w:ascii="Arial" w:cs="Arial" w:eastAsia="Arial" w:hAnsi="Arial"/>
                <w:sz w:val="10"/>
                <w:szCs w:val="10"/>
                <w:b w:val="1"/>
                <w:bCs w:val="1"/>
                <w:color w:val="auto"/>
              </w:rPr>
              <w:t>Payment (Refund)</w:t>
            </w:r>
          </w:p>
        </w:tc>
      </w:tr>
      <w:tr>
        <w:trPr>
          <w:trHeight w:val="148"/>
        </w:trPr>
        <w:tc>
          <w:tcPr>
            <w:tcW w:w="20" w:type="dxa"/>
            <w:vAlign w:val="bottom"/>
          </w:tcPr>
          <w:p>
            <w:pPr>
              <w:spacing w:after="0"/>
              <w:rPr>
                <w:sz w:val="12"/>
                <w:szCs w:val="12"/>
                <w:color w:val="auto"/>
              </w:rPr>
            </w:pPr>
          </w:p>
        </w:tc>
        <w:tc>
          <w:tcPr>
            <w:tcW w:w="3680" w:type="dxa"/>
            <w:vAlign w:val="bottom"/>
            <w:tcBorders>
              <w:bottom w:val="single" w:sz="8" w:color="D2EEF5"/>
            </w:tcBorders>
          </w:tcPr>
          <w:p>
            <w:pPr>
              <w:spacing w:after="0"/>
              <w:rPr>
                <w:sz w:val="12"/>
                <w:szCs w:val="12"/>
                <w:color w:val="auto"/>
              </w:rPr>
            </w:pPr>
          </w:p>
        </w:tc>
        <w:tc>
          <w:tcPr>
            <w:tcW w:w="2220" w:type="dxa"/>
            <w:vAlign w:val="bottom"/>
            <w:tcBorders>
              <w:bottom w:val="single" w:sz="8" w:color="D2EEF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Borders>
              <w:bottom w:val="single" w:sz="8" w:color="D2EEF5"/>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6"/>
              </w:rPr>
              <w:t>Amount</w:t>
            </w:r>
          </w:p>
        </w:tc>
      </w:tr>
      <w:tr>
        <w:trPr>
          <w:trHeight w:val="174"/>
        </w:trPr>
        <w:tc>
          <w:tcPr>
            <w:tcW w:w="20" w:type="dxa"/>
            <w:vAlign w:val="bottom"/>
          </w:tcPr>
          <w:p>
            <w:pPr>
              <w:spacing w:after="0"/>
              <w:rPr>
                <w:sz w:val="15"/>
                <w:szCs w:val="15"/>
                <w:color w:val="auto"/>
              </w:rPr>
            </w:pPr>
          </w:p>
        </w:tc>
        <w:tc>
          <w:tcPr>
            <w:tcW w:w="3680" w:type="dxa"/>
            <w:vAlign w:val="bottom"/>
            <w:shd w:val="clear" w:color="auto" w:fill="D2EEF5"/>
          </w:tcPr>
          <w:p>
            <w:pPr>
              <w:spacing w:after="0"/>
              <w:rPr>
                <w:sz w:val="20"/>
                <w:szCs w:val="20"/>
                <w:color w:val="auto"/>
              </w:rPr>
            </w:pPr>
            <w:r>
              <w:rPr>
                <w:rFonts w:ascii="Arial" w:cs="Arial" w:eastAsia="Arial" w:hAnsi="Arial"/>
                <w:sz w:val="15"/>
                <w:szCs w:val="15"/>
                <w:color w:val="auto"/>
              </w:rPr>
              <w:t>Jurisdiction</w:t>
            </w:r>
          </w:p>
        </w:tc>
        <w:tc>
          <w:tcPr>
            <w:tcW w:w="222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10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1160" w:type="dxa"/>
            <w:vAlign w:val="bottom"/>
            <w:shd w:val="clear" w:color="auto" w:fill="D2EEF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680" w:type="dxa"/>
            <w:vAlign w:val="bottom"/>
          </w:tcPr>
          <w:p>
            <w:pPr>
              <w:ind w:left="80"/>
              <w:spacing w:after="0"/>
              <w:rPr>
                <w:sz w:val="20"/>
                <w:szCs w:val="20"/>
                <w:color w:val="auto"/>
              </w:rPr>
            </w:pPr>
            <w:r>
              <w:rPr>
                <w:rFonts w:ascii="Arial" w:cs="Arial" w:eastAsia="Arial" w:hAnsi="Arial"/>
                <w:sz w:val="15"/>
                <w:szCs w:val="15"/>
                <w:color w:val="auto"/>
              </w:rPr>
              <w:t>United States</w:t>
            </w:r>
          </w:p>
        </w:tc>
        <w:tc>
          <w:tcPr>
            <w:tcW w:w="2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20" w:type="dxa"/>
            <w:vAlign w:val="bottom"/>
          </w:tcPr>
          <w:p>
            <w:pPr>
              <w:spacing w:after="0"/>
              <w:rPr>
                <w:sz w:val="15"/>
                <w:szCs w:val="15"/>
                <w:color w:val="auto"/>
              </w:rPr>
            </w:pPr>
          </w:p>
        </w:tc>
        <w:tc>
          <w:tcPr>
            <w:tcW w:w="3680" w:type="dxa"/>
            <w:vAlign w:val="bottom"/>
            <w:shd w:val="clear" w:color="auto" w:fill="D2EEF5"/>
          </w:tcPr>
          <w:p>
            <w:pPr>
              <w:ind w:left="80"/>
              <w:spacing w:after="0"/>
              <w:rPr>
                <w:sz w:val="20"/>
                <w:szCs w:val="20"/>
                <w:color w:val="auto"/>
              </w:rPr>
            </w:pPr>
            <w:r>
              <w:rPr>
                <w:rFonts w:ascii="Arial" w:cs="Arial" w:eastAsia="Arial" w:hAnsi="Arial"/>
                <w:sz w:val="15"/>
                <w:szCs w:val="15"/>
                <w:color w:val="auto"/>
              </w:rPr>
              <w:t>Texas</w:t>
            </w:r>
          </w:p>
        </w:tc>
        <w:tc>
          <w:tcPr>
            <w:tcW w:w="222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20" w:type="dxa"/>
            <w:vAlign w:val="bottom"/>
            <w:shd w:val="clear" w:color="auto" w:fill="D2EEF5"/>
          </w:tcPr>
          <w:p>
            <w:pPr>
              <w:spacing w:after="0"/>
              <w:rPr>
                <w:sz w:val="15"/>
                <w:szCs w:val="15"/>
                <w:color w:val="auto"/>
              </w:rPr>
            </w:pPr>
          </w:p>
        </w:tc>
        <w:tc>
          <w:tcPr>
            <w:tcW w:w="1100" w:type="dxa"/>
            <w:vAlign w:val="bottom"/>
            <w:shd w:val="clear" w:color="auto" w:fill="D2EEF5"/>
          </w:tcPr>
          <w:p>
            <w:pPr>
              <w:jc w:val="right"/>
              <w:spacing w:after="0"/>
              <w:rPr>
                <w:sz w:val="20"/>
                <w:szCs w:val="20"/>
                <w:color w:val="auto"/>
              </w:rPr>
            </w:pPr>
            <w:r>
              <w:rPr>
                <w:rFonts w:ascii="Arial" w:cs="Arial" w:eastAsia="Arial" w:hAnsi="Arial"/>
                <w:sz w:val="15"/>
                <w:szCs w:val="15"/>
                <w:color w:val="auto"/>
              </w:rPr>
              <w:t>37,000</w:t>
            </w:r>
          </w:p>
        </w:tc>
        <w:tc>
          <w:tcPr>
            <w:tcW w:w="20" w:type="dxa"/>
            <w:vAlign w:val="bottom"/>
            <w:shd w:val="clear" w:color="auto" w:fill="D2EEF5"/>
          </w:tcPr>
          <w:p>
            <w:pPr>
              <w:spacing w:after="0"/>
              <w:rPr>
                <w:sz w:val="15"/>
                <w:szCs w:val="15"/>
                <w:color w:val="auto"/>
              </w:rPr>
            </w:pPr>
          </w:p>
        </w:tc>
        <w:tc>
          <w:tcPr>
            <w:tcW w:w="120" w:type="dxa"/>
            <w:vAlign w:val="bottom"/>
            <w:shd w:val="clear" w:color="auto" w:fill="D2EEF5"/>
          </w:tcPr>
          <w:p>
            <w:pPr>
              <w:spacing w:after="0"/>
              <w:rPr>
                <w:sz w:val="15"/>
                <w:szCs w:val="15"/>
                <w:color w:val="auto"/>
              </w:rPr>
            </w:pPr>
          </w:p>
        </w:tc>
        <w:tc>
          <w:tcPr>
            <w:tcW w:w="100" w:type="dxa"/>
            <w:vAlign w:val="bottom"/>
            <w:shd w:val="clear" w:color="auto" w:fill="D2EEF5"/>
          </w:tcPr>
          <w:p>
            <w:pPr>
              <w:spacing w:after="0"/>
              <w:rPr>
                <w:sz w:val="15"/>
                <w:szCs w:val="15"/>
                <w:color w:val="auto"/>
              </w:rPr>
            </w:pPr>
          </w:p>
        </w:tc>
        <w:tc>
          <w:tcPr>
            <w:tcW w:w="1160" w:type="dxa"/>
            <w:vAlign w:val="bottom"/>
            <w:shd w:val="clear" w:color="auto" w:fill="D2EEF5"/>
          </w:tcPr>
          <w:p>
            <w:pPr>
              <w:jc w:val="right"/>
              <w:spacing w:after="0"/>
              <w:rPr>
                <w:sz w:val="20"/>
                <w:szCs w:val="20"/>
                <w:color w:val="auto"/>
              </w:rPr>
            </w:pPr>
            <w:r>
              <w:rPr>
                <w:rFonts w:ascii="Arial" w:cs="Arial" w:eastAsia="Arial" w:hAnsi="Arial"/>
                <w:sz w:val="15"/>
                <w:szCs w:val="15"/>
                <w:color w:val="auto"/>
              </w:rPr>
              <w:t>64,000</w:t>
            </w:r>
          </w:p>
        </w:tc>
      </w:tr>
      <w:tr>
        <w:trPr>
          <w:trHeight w:val="183"/>
        </w:trPr>
        <w:tc>
          <w:tcPr>
            <w:tcW w:w="20" w:type="dxa"/>
            <w:vAlign w:val="bottom"/>
          </w:tcPr>
          <w:p>
            <w:pPr>
              <w:spacing w:after="0"/>
              <w:rPr>
                <w:sz w:val="15"/>
                <w:szCs w:val="15"/>
                <w:color w:val="auto"/>
              </w:rPr>
            </w:pPr>
          </w:p>
        </w:tc>
        <w:tc>
          <w:tcPr>
            <w:tcW w:w="3680" w:type="dxa"/>
            <w:vAlign w:val="bottom"/>
            <w:tcBorders>
              <w:bottom w:val="single" w:sz="8" w:color="D2EEF5"/>
            </w:tcBorders>
          </w:tcPr>
          <w:p>
            <w:pPr>
              <w:ind w:left="80"/>
              <w:spacing w:after="0"/>
              <w:rPr>
                <w:sz w:val="20"/>
                <w:szCs w:val="20"/>
                <w:color w:val="auto"/>
              </w:rPr>
            </w:pPr>
            <w:r>
              <w:rPr>
                <w:rFonts w:ascii="Arial" w:cs="Arial" w:eastAsia="Arial" w:hAnsi="Arial"/>
                <w:sz w:val="15"/>
                <w:szCs w:val="15"/>
                <w:color w:val="auto"/>
              </w:rPr>
              <w:t>Other US States</w:t>
            </w:r>
          </w:p>
        </w:tc>
        <w:tc>
          <w:tcPr>
            <w:tcW w:w="2220" w:type="dxa"/>
            <w:vAlign w:val="bottom"/>
            <w:tcBorders>
              <w:bottom w:val="single" w:sz="8" w:color="D2EE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2EEF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8,150</w:t>
            </w:r>
          </w:p>
        </w:tc>
      </w:tr>
      <w:tr>
        <w:trPr>
          <w:trHeight w:val="174"/>
        </w:trPr>
        <w:tc>
          <w:tcPr>
            <w:tcW w:w="20" w:type="dxa"/>
            <w:vAlign w:val="bottom"/>
          </w:tcPr>
          <w:p>
            <w:pPr>
              <w:spacing w:after="0"/>
              <w:rPr>
                <w:sz w:val="15"/>
                <w:szCs w:val="15"/>
                <w:color w:val="auto"/>
              </w:rPr>
            </w:pPr>
          </w:p>
        </w:tc>
        <w:tc>
          <w:tcPr>
            <w:tcW w:w="3680" w:type="dxa"/>
            <w:vAlign w:val="bottom"/>
            <w:tcBorders>
              <w:bottom w:val="single" w:sz="8" w:color="D2EEF5"/>
            </w:tcBorders>
            <w:shd w:val="clear" w:color="auto" w:fill="D2EEF5"/>
          </w:tcPr>
          <w:p>
            <w:pPr>
              <w:spacing w:after="0"/>
              <w:rPr>
                <w:sz w:val="20"/>
                <w:szCs w:val="20"/>
                <w:color w:val="auto"/>
              </w:rPr>
            </w:pPr>
            <w:r>
              <w:rPr>
                <w:rFonts w:ascii="Arial" w:cs="Arial" w:eastAsia="Arial" w:hAnsi="Arial"/>
                <w:sz w:val="15"/>
                <w:szCs w:val="15"/>
                <w:color w:val="auto"/>
              </w:rPr>
              <w:t>Total Income Taxes Paid</w:t>
            </w:r>
          </w:p>
        </w:tc>
        <w:tc>
          <w:tcPr>
            <w:tcW w:w="2220" w:type="dxa"/>
            <w:vAlign w:val="bottom"/>
            <w:tcBorders>
              <w:bottom w:val="single" w:sz="8" w:color="D2EEF5"/>
            </w:tcBorders>
            <w:shd w:val="clear" w:color="auto" w:fill="D2EEF5"/>
          </w:tcPr>
          <w:p>
            <w:pPr>
              <w:spacing w:after="0"/>
              <w:rPr>
                <w:sz w:val="15"/>
                <w:szCs w:val="15"/>
                <w:color w:val="auto"/>
              </w:rPr>
            </w:pPr>
          </w:p>
        </w:tc>
        <w:tc>
          <w:tcPr>
            <w:tcW w:w="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bottom w:val="single" w:sz="8" w:color="auto"/>
            </w:tcBorders>
            <w:shd w:val="clear" w:color="auto" w:fill="D2EEF5"/>
          </w:tcPr>
          <w:p>
            <w:pPr>
              <w:spacing w:after="0"/>
              <w:rPr>
                <w:sz w:val="15"/>
                <w:szCs w:val="15"/>
                <w:color w:val="auto"/>
              </w:rPr>
            </w:pPr>
          </w:p>
        </w:tc>
        <w:tc>
          <w:tcPr>
            <w:tcW w:w="1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42,000</w:t>
            </w:r>
          </w:p>
        </w:tc>
        <w:tc>
          <w:tcPr>
            <w:tcW w:w="20" w:type="dxa"/>
            <w:vAlign w:val="bottom"/>
            <w:tcBorders>
              <w:bottom w:val="single" w:sz="8" w:color="auto"/>
            </w:tcBorders>
            <w:shd w:val="clear" w:color="auto" w:fill="D2EEF5"/>
          </w:tcPr>
          <w:p>
            <w:pPr>
              <w:spacing w:after="0"/>
              <w:rPr>
                <w:sz w:val="15"/>
                <w:szCs w:val="15"/>
                <w:color w:val="auto"/>
              </w:rPr>
            </w:pPr>
          </w:p>
        </w:tc>
        <w:tc>
          <w:tcPr>
            <w:tcW w:w="120" w:type="dxa"/>
            <w:vAlign w:val="bottom"/>
            <w:tcBorders>
              <w:bottom w:val="single" w:sz="8" w:color="D2EEF5"/>
            </w:tcBorders>
            <w:shd w:val="clear" w:color="auto" w:fill="D2EEF5"/>
          </w:tcPr>
          <w:p>
            <w:pPr>
              <w:spacing w:after="0"/>
              <w:rPr>
                <w:sz w:val="15"/>
                <w:szCs w:val="15"/>
                <w:color w:val="auto"/>
              </w:rPr>
            </w:pPr>
          </w:p>
        </w:tc>
        <w:tc>
          <w:tcPr>
            <w:tcW w:w="10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D2EEF5"/>
          </w:tcPr>
          <w:p>
            <w:pPr>
              <w:jc w:val="right"/>
              <w:spacing w:after="0"/>
              <w:rPr>
                <w:sz w:val="20"/>
                <w:szCs w:val="20"/>
                <w:color w:val="auto"/>
              </w:rPr>
            </w:pPr>
            <w:r>
              <w:rPr>
                <w:rFonts w:ascii="Arial" w:cs="Arial" w:eastAsia="Arial" w:hAnsi="Arial"/>
                <w:sz w:val="15"/>
                <w:szCs w:val="15"/>
                <w:color w:val="auto"/>
              </w:rPr>
              <w:t>72,150</w:t>
            </w: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4"/>
          <w:szCs w:val="14"/>
          <w:b w:val="1"/>
          <w:bCs w:val="1"/>
          <w:color w:val="auto"/>
        </w:rPr>
        <w:t>SUBSEQUENT EVENTS</w:t>
      </w:r>
    </w:p>
    <w:p>
      <w:pPr>
        <w:spacing w:after="0" w:line="127" w:lineRule="exact"/>
        <w:rPr>
          <w:sz w:val="20"/>
          <w:szCs w:val="20"/>
          <w:color w:val="auto"/>
        </w:rPr>
      </w:pPr>
    </w:p>
    <w:p>
      <w:pPr>
        <w:spacing w:after="0" w:line="382" w:lineRule="auto"/>
        <w:rPr>
          <w:sz w:val="20"/>
          <w:szCs w:val="20"/>
          <w:color w:val="auto"/>
        </w:rPr>
      </w:pPr>
      <w:r>
        <w:rPr>
          <w:rFonts w:ascii="Arial" w:cs="Arial" w:eastAsia="Arial" w:hAnsi="Arial"/>
          <w:sz w:val="13"/>
          <w:szCs w:val="13"/>
          <w:color w:val="auto"/>
        </w:rPr>
        <w:t>The Company has evaluated subsequent events and transactions that occurred up to the date these consolidated financial statements were issued. Based upon this review, the Company did not identify any subsequent events that would have required adjustment to or disclosure in the unaudited condensed consolidated financial statements.</w:t>
      </w:r>
    </w:p>
    <w:p>
      <w:pPr>
        <w:sectPr>
          <w:pgSz w:w="11900" w:h="16834" w:orient="portrait"/>
          <w:cols w:equalWidth="0" w:num="1">
            <w:col w:w="10640"/>
          </w:cols>
          <w:pgMar w:left="620" w:top="1440" w:right="634"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ectPr>
          <w:pgSz w:w="11900" w:h="16834" w:orient="portrait"/>
          <w:cols w:equalWidth="0" w:num="1">
            <w:col w:w="10640"/>
          </w:cols>
          <w:pgMar w:left="620" w:top="1440" w:right="634" w:bottom="0" w:gutter="0" w:footer="0" w:header="0"/>
          <w:type w:val="continuous"/>
        </w:sectPr>
      </w:pPr>
    </w:p>
    <w:bookmarkStart w:id="117" w:name="page118"/>
    <w:bookmarkEnd w:id="117"/>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Eansor</w:t>
      </w:r>
      <w:r>
        <w:rPr>
          <w:rFonts w:ascii="Arial" w:cs="Arial" w:eastAsia="Arial" w:hAnsi="Arial"/>
          <w:sz w:val="18"/>
          <w:szCs w:val="18"/>
          <w:color w:val="auto"/>
        </w:rPr>
        <w:t>, Chairman of 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President of Protein Sciences Segment, Bio-</w:t>
      </w:r>
    </w:p>
    <w:p>
      <w:pPr>
        <w:spacing w:after="0" w:line="230" w:lineRule="auto"/>
        <w:rPr>
          <w:sz w:val="20"/>
          <w:szCs w:val="20"/>
          <w:color w:val="auto"/>
        </w:rPr>
      </w:pPr>
      <w:r>
        <w:rPr>
          <w:rFonts w:ascii="Arial" w:cs="Arial" w:eastAsia="Arial" w:hAnsi="Arial"/>
          <w:sz w:val="20"/>
          <w:szCs w:val="20"/>
          <w:color w:val="auto"/>
        </w:rPr>
        <w:t>Techne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Steven Elms</w:t>
      </w:r>
      <w:r>
        <w:rPr>
          <w:rFonts w:ascii="Arial" w:cs="Arial" w:eastAsia="Arial" w:hAnsi="Arial"/>
          <w:sz w:val="20"/>
          <w:szCs w:val="20"/>
          <w:color w:val="auto"/>
        </w:rPr>
        <w:t>, Director</w:t>
      </w:r>
    </w:p>
    <w:p>
      <w:pPr>
        <w:spacing w:after="0" w:line="227" w:lineRule="auto"/>
        <w:rPr>
          <w:sz w:val="20"/>
          <w:szCs w:val="20"/>
          <w:color w:val="auto"/>
        </w:rPr>
      </w:pPr>
      <w:r>
        <w:rPr>
          <w:rFonts w:ascii="Arial" w:cs="Arial" w:eastAsia="Arial" w:hAnsi="Arial"/>
          <w:sz w:val="20"/>
          <w:szCs w:val="20"/>
          <w:color w:val="auto"/>
        </w:rPr>
        <w:t>Managing Partner, Aisling Capital</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Katharine Knobil</w:t>
      </w:r>
      <w:r>
        <w:rPr>
          <w:rFonts w:ascii="Arial" w:cs="Arial" w:eastAsia="Arial" w:hAnsi="Arial"/>
          <w:sz w:val="20"/>
          <w:szCs w:val="20"/>
          <w:color w:val="auto"/>
        </w:rPr>
        <w:t>, Director</w:t>
      </w:r>
    </w:p>
    <w:p>
      <w:pPr>
        <w:spacing w:after="0" w:line="224" w:lineRule="auto"/>
        <w:rPr>
          <w:sz w:val="20"/>
          <w:szCs w:val="20"/>
          <w:color w:val="auto"/>
        </w:rPr>
      </w:pPr>
      <w:r>
        <w:rPr>
          <w:rFonts w:ascii="Arial" w:cs="Arial" w:eastAsia="Arial" w:hAnsi="Arial"/>
          <w:sz w:val="20"/>
          <w:szCs w:val="20"/>
          <w:color w:val="auto"/>
        </w:rPr>
        <w:t>Former Chief Medical Officer, Agilent Technologies Inc.</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Juan Vera</w:t>
      </w:r>
      <w:r>
        <w:rPr>
          <w:rFonts w:ascii="Arial" w:cs="Arial" w:eastAsia="Arial" w:hAnsi="Arial"/>
          <w:sz w:val="20"/>
          <w:szCs w:val="20"/>
          <w:color w:val="auto"/>
        </w:rPr>
        <w:t>, Director</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Chief Executive Officer, Marker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Therapeutics, Inc.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Kathryn Penkus Corzo</w:t>
      </w:r>
      <w:r>
        <w:rPr>
          <w:rFonts w:ascii="Arial" w:cs="Arial" w:eastAsia="Arial" w:hAnsi="Arial"/>
          <w:sz w:val="20"/>
          <w:szCs w:val="20"/>
          <w:color w:val="auto"/>
        </w:rPr>
        <w:t>,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Chief Operating Officer of bit.bio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Juan Vera</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Director, President 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Marker</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Therapeutics, Inc.</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20"/>
          <w:szCs w:val="20"/>
          <w:b w:val="1"/>
          <w:bCs w:val="1"/>
          <w:color w:val="auto"/>
        </w:rPr>
        <w:t>CORPORATE HEADQUARTERS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Marker Therapeutics, Inc.</w:t>
      </w:r>
    </w:p>
    <w:p>
      <w:pPr>
        <w:spacing w:after="0" w:line="5" w:lineRule="exact"/>
        <w:rPr>
          <w:sz w:val="20"/>
          <w:szCs w:val="20"/>
          <w:color w:val="auto"/>
        </w:rPr>
      </w:pPr>
    </w:p>
    <w:p>
      <w:pPr>
        <w:ind w:left="60"/>
        <w:spacing w:after="0"/>
        <w:rPr>
          <w:sz w:val="20"/>
          <w:szCs w:val="20"/>
          <w:color w:val="auto"/>
        </w:rPr>
      </w:pPr>
      <w:r>
        <w:rPr>
          <w:rFonts w:ascii="Arial" w:cs="Arial" w:eastAsia="Arial" w:hAnsi="Arial"/>
          <w:sz w:val="20"/>
          <w:szCs w:val="20"/>
          <w:color w:val="auto"/>
        </w:rPr>
        <w:t>2450 Holcombe Blvd, TMC Former</w:t>
      </w:r>
    </w:p>
    <w:p>
      <w:pPr>
        <w:spacing w:after="0" w:line="8" w:lineRule="exact"/>
        <w:rPr>
          <w:sz w:val="20"/>
          <w:szCs w:val="20"/>
          <w:color w:val="auto"/>
        </w:rPr>
      </w:pPr>
    </w:p>
    <w:p>
      <w:pPr>
        <w:ind w:left="60"/>
        <w:spacing w:after="0"/>
        <w:rPr>
          <w:sz w:val="20"/>
          <w:szCs w:val="20"/>
          <w:color w:val="auto"/>
        </w:rPr>
      </w:pPr>
      <w:r>
        <w:rPr>
          <w:rFonts w:ascii="Arial" w:cs="Arial" w:eastAsia="Arial" w:hAnsi="Arial"/>
          <w:sz w:val="20"/>
          <w:szCs w:val="20"/>
          <w:color w:val="auto"/>
        </w:rPr>
        <w:t>Partners Office 1.311</w:t>
      </w:r>
    </w:p>
    <w:p>
      <w:pPr>
        <w:ind w:left="40"/>
        <w:spacing w:after="0" w:line="230" w:lineRule="auto"/>
        <w:rPr>
          <w:sz w:val="20"/>
          <w:szCs w:val="20"/>
          <w:color w:val="auto"/>
        </w:rPr>
      </w:pPr>
      <w:r>
        <w:rPr>
          <w:rFonts w:ascii="Arial" w:cs="Arial" w:eastAsia="Arial" w:hAnsi="Arial"/>
          <w:sz w:val="20"/>
          <w:szCs w:val="20"/>
          <w:color w:val="auto"/>
        </w:rPr>
        <w:t>Houston, Texas 77021</w:t>
      </w:r>
    </w:p>
    <w:p>
      <w:pPr>
        <w:spacing w:after="0" w:line="252" w:lineRule="exact"/>
        <w:rPr>
          <w:sz w:val="20"/>
          <w:szCs w:val="20"/>
          <w:color w:val="auto"/>
        </w:rPr>
      </w:pPr>
    </w:p>
    <w:p>
      <w:pPr>
        <w:ind w:left="60" w:right="2240" w:hanging="10"/>
        <w:spacing w:after="0" w:line="256" w:lineRule="auto"/>
        <w:tabs>
          <w:tab w:leader="none" w:pos="28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(713) 400-6400 </w:t>
      </w:r>
      <w:r>
        <w:rPr>
          <w:rFonts w:ascii="Arial" w:cs="Arial" w:eastAsia="Arial" w:hAnsi="Arial"/>
          <w:sz w:val="17"/>
          <w:szCs w:val="17"/>
          <w:i w:val="1"/>
          <w:iCs w:val="1"/>
          <w:u w:val="single" w:color="auto"/>
          <w:color w:val="0000FF"/>
        </w:rPr>
        <w:t>www.markertherapeutics.com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LISTING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Nasdaq Capital Market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Ticker Symbol: MRKR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ANNUAL MEETING OF STOCKHOLDERS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0"/>
          <w:szCs w:val="20"/>
          <w:color w:val="auto"/>
        </w:rPr>
        <w:t>Fri</w:t>
      </w:r>
      <w:r>
        <w:rPr>
          <w:rFonts w:ascii="Arial" w:cs="Arial" w:eastAsia="Arial" w:hAnsi="Arial"/>
          <w:sz w:val="18"/>
          <w:szCs w:val="18"/>
          <w:color w:val="auto"/>
        </w:rPr>
        <w:t>day, May 1, 2026 , at</w:t>
      </w:r>
      <w:r>
        <w:rPr>
          <w:rFonts w:ascii="Arial" w:cs="Arial" w:eastAsia="Arial" w:hAnsi="Arial"/>
          <w:sz w:val="20"/>
          <w:szCs w:val="20"/>
          <w:color w:val="auto"/>
        </w:rPr>
        <w:t xml:space="preserve"> 10</w:t>
      </w:r>
      <w:r>
        <w:rPr>
          <w:rFonts w:ascii="Arial" w:cs="Arial" w:eastAsia="Arial" w:hAnsi="Arial"/>
          <w:sz w:val="18"/>
          <w:szCs w:val="18"/>
          <w:color w:val="auto"/>
        </w:rPr>
        <w:t>:00 a.m.</w:t>
      </w:r>
      <w:r>
        <w:rPr>
          <w:rFonts w:ascii="Arial" w:cs="Arial" w:eastAsia="Arial" w:hAnsi="Arial"/>
          <w:sz w:val="20"/>
          <w:szCs w:val="20"/>
          <w:color w:val="auto"/>
        </w:rPr>
        <w:t xml:space="preserve"> Eastern </w:t>
      </w:r>
      <w:r>
        <w:rPr>
          <w:rFonts w:ascii="Arial" w:cs="Arial" w:eastAsia="Arial" w:hAnsi="Arial"/>
          <w:sz w:val="18"/>
          <w:szCs w:val="18"/>
          <w:color w:val="auto"/>
        </w:rPr>
        <w:t>Time at:</w:t>
      </w:r>
    </w:p>
    <w:p>
      <w:pPr>
        <w:ind w:left="20" w:right="260"/>
        <w:spacing w:after="0" w:line="234" w:lineRule="auto"/>
        <w:rPr>
          <w:sz w:val="20"/>
          <w:szCs w:val="20"/>
          <w:color w:val="auto"/>
        </w:rPr>
      </w:pPr>
      <w:r>
        <w:rPr>
          <w:rFonts w:ascii="Arial" w:cs="Arial" w:eastAsia="Arial" w:hAnsi="Arial"/>
          <w:sz w:val="20"/>
          <w:szCs w:val="20"/>
          <w:i w:val="1"/>
          <w:iCs w:val="1"/>
          <w:color w:val="231F20"/>
        </w:rPr>
        <w:t>https://web.viewproxy.com/markertherapeutics/2 026AM</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REGISTRAR AND TRANSFER AGENT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color w:val="auto"/>
        </w:rPr>
        <w:t>Equiniti Trust Company, LLC</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6201 15th Avenue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Brooklyn, New York 11219</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 (800) 937-5449</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LEGAL COUNSEL</w:t>
      </w:r>
    </w:p>
    <w:p>
      <w:pPr>
        <w:spacing w:after="0" w:line="213" w:lineRule="exact"/>
        <w:rPr>
          <w:sz w:val="20"/>
          <w:szCs w:val="20"/>
          <w:color w:val="auto"/>
        </w:rPr>
      </w:pPr>
    </w:p>
    <w:p>
      <w:pPr>
        <w:ind w:left="20" w:right="1780"/>
        <w:spacing w:after="0" w:line="239" w:lineRule="auto"/>
        <w:rPr>
          <w:sz w:val="20"/>
          <w:szCs w:val="20"/>
          <w:color w:val="auto"/>
        </w:rPr>
      </w:pPr>
      <w:r>
        <w:rPr>
          <w:rFonts w:ascii="Arial" w:cs="Arial" w:eastAsia="Arial" w:hAnsi="Arial"/>
          <w:sz w:val="20"/>
          <w:szCs w:val="20"/>
          <w:color w:val="auto"/>
        </w:rPr>
        <w:t>Shumaker, Loop &amp; Kendrick, LLP Tampa, Florida</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INDEPENDENT AUDITORS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20"/>
          <w:szCs w:val="20"/>
          <w:color w:val="auto"/>
        </w:rPr>
        <w:t>CBIZ CPAs P.C.</w:t>
      </w:r>
    </w:p>
    <w:p>
      <w:pPr>
        <w:ind w:left="20"/>
        <w:spacing w:after="0" w:line="230" w:lineRule="auto"/>
        <w:rPr>
          <w:sz w:val="20"/>
          <w:szCs w:val="20"/>
          <w:color w:val="auto"/>
        </w:rPr>
      </w:pPr>
      <w:r>
        <w:rPr>
          <w:rFonts w:ascii="Arial" w:cs="Arial" w:eastAsia="Arial" w:hAnsi="Arial"/>
          <w:sz w:val="20"/>
          <w:szCs w:val="20"/>
          <w:color w:val="auto"/>
        </w:rPr>
        <w:t>Houston, Texas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INVESTOR RELATIONS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Marker Therapeutics, Inc.</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 Relations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2450 Holcombe Blvd, TMC Partners Office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0"/>
          <w:szCs w:val="20"/>
          <w:color w:val="auto"/>
        </w:rPr>
        <w:t>1.311Houston, Texas 77021</w:t>
      </w:r>
    </w:p>
    <w:p>
      <w:pPr>
        <w:spacing w:after="0" w:line="10" w:lineRule="exact"/>
        <w:rPr>
          <w:sz w:val="20"/>
          <w:szCs w:val="20"/>
          <w:color w:val="auto"/>
        </w:rPr>
      </w:pPr>
    </w:p>
    <w:p>
      <w:pPr>
        <w:ind w:left="240" w:hanging="224"/>
        <w:spacing w:after="0"/>
        <w:tabs>
          <w:tab w:leader="none" w:pos="240" w:val="left"/>
        </w:tabs>
        <w:numPr>
          <w:ilvl w:val="0"/>
          <w:numId w:val="58"/>
        </w:numPr>
        <w:rPr>
          <w:rFonts w:ascii="Arial" w:cs="Arial" w:eastAsia="Arial" w:hAnsi="Arial"/>
          <w:sz w:val="20"/>
          <w:szCs w:val="20"/>
          <w:color w:val="auto"/>
        </w:rPr>
      </w:pPr>
      <w:r>
        <w:rPr>
          <w:rFonts w:ascii="Arial" w:cs="Arial" w:eastAsia="Arial" w:hAnsi="Arial"/>
          <w:sz w:val="21"/>
          <w:szCs w:val="21"/>
          <w:u w:val="single" w:color="auto"/>
          <w:color w:val="0000FF"/>
        </w:rPr>
        <w:t>investor.relations@markertherapeutics.com</w:t>
      </w:r>
    </w:p>
    <w:p>
      <w:pPr>
        <w:ind w:left="240" w:hanging="224"/>
        <w:spacing w:after="0" w:line="233" w:lineRule="auto"/>
        <w:tabs>
          <w:tab w:leader="none" w:pos="2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(713) 400-6400</w:t>
      </w:r>
    </w:p>
    <w:p>
      <w:pPr>
        <w:sectPr>
          <w:pgSz w:w="12240" w:h="15840" w:orient="portrait"/>
          <w:cols w:equalWidth="0" w:num="2">
            <w:col w:w="4200" w:space="580"/>
            <w:col w:w="4580"/>
          </w:cols>
          <w:pgMar w:left="1440" w:top="988" w:right="1440" w:bottom="1440" w:gutter="0" w:footer="0" w:header="0"/>
        </w:sectPr>
      </w:pPr>
    </w:p>
    <w:bookmarkStart w:id="118" w:name="page119"/>
    <w:bookmarkEnd w:id="118"/>
    <w:p>
      <w:pPr>
        <w:spacing w:after="0" w:line="233" w:lineRule="auto"/>
        <w:tabs>
          <w:tab w:leader="none" w:pos="2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2017395</wp:posOffset>
            </wp:positionH>
            <wp:positionV relativeFrom="page">
              <wp:posOffset>2798445</wp:posOffset>
            </wp:positionV>
            <wp:extent cx="3836035" cy="1012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836035" cy="101219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
      <w:numFmt w:val="bullet"/>
      <w:start w:val="1"/>
    </w:lvl>
  </w:abstractNum>
  <w:abstractNum w:abstractNumId="12">
    <w:nsid w:val="5072367"/>
    <w:multiLevelType w:val="hybridMultilevel"/>
    <w:lvl w:ilvl="0">
      <w:lvlJc w:val="left"/>
      <w:lvlText w:val=" "/>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lvl w:ilvl="1">
      <w:lvlJc w:val="left"/>
      <w:lvlText w:val="o"/>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lowerLetter"/>
      <w:start w:val="2"/>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
      <w:numFmt w:val="bullet"/>
      <w:start w:val="1"/>
    </w:lvl>
    <w:lvl w:ilvl="1">
      <w:lvlJc w:val="left"/>
      <w:lvlText w:val="%2"/>
      <w:numFmt w:val="decimal"/>
      <w:start w:val="104"/>
    </w:lvl>
  </w:abstractNum>
  <w:abstractNum w:abstractNumId="51">
    <w:nsid w:val="649BB77C"/>
    <w:multiLevelType w:val="hybridMultilevel"/>
    <w:lvl w:ilvl="0">
      <w:lvlJc w:val="left"/>
      <w:lvlText w:val="**"/>
      <w:numFmt w:val="bullet"/>
      <w:start w:val="1"/>
    </w:lvl>
    <w:lvl w:ilvl="1">
      <w:lvlJc w:val="left"/>
      <w:lvlText w:val="%2"/>
      <w:numFmt w:val="decimal"/>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upperLetter"/>
      <w:start w:val="20"/>
    </w:lvl>
  </w:abstractNum>
  <w:abstractNum w:abstractNumId="57">
    <w:nsid w:val="47398C89"/>
    <w:multiLevelType w:val="hybridMultilevel"/>
    <w:lvl w:ilvl="0">
      <w:lvlJc w:val="left"/>
      <w:lvlText w:val="%1:"/>
      <w:numFmt w:val="upperLetter"/>
      <w:start w:val="5"/>
    </w:lvl>
  </w:abstractNum>
  <w:abstractNum w:abstractNumId="58">
    <w:nsid w:val="354FE9F9"/>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2026-03-20T22:03:32Z</dcterms:created>
  <dcterms:modified xsi:type="dcterms:W3CDTF">2026-03-20T22:03:32Z</dcterms:modified>
</cp:coreProperties>
</file>