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22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Under Section 13 or 15(d) of the Securities Exchange Act of 1934 for the quarterly period ended March 31, 2020</w:t>
      </w:r>
    </w:p>
    <w:p>
      <w:pPr>
        <w:spacing w:after="0" w:line="248" w:lineRule="exact"/>
        <w:rPr>
          <w:sz w:val="24"/>
          <w:szCs w:val="24"/>
          <w:color w:val="auto"/>
        </w:rPr>
      </w:pPr>
    </w:p>
    <w:p>
      <w:pPr>
        <w:ind w:left="4260" w:right="1480" w:hanging="4252"/>
        <w:spacing w:after="0" w:line="52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117475</wp:posOffset>
            </wp:positionV>
            <wp:extent cx="2374265"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p>
      <w:pPr>
        <w:spacing w:after="0" w:line="53" w:lineRule="exact"/>
        <w:rPr>
          <w:sz w:val="24"/>
          <w:szCs w:val="24"/>
          <w:color w:val="auto"/>
        </w:rPr>
      </w:pPr>
    </w:p>
    <w:p>
      <w:pPr>
        <w:jc w:val="right"/>
        <w:ind w:right="520"/>
        <w:spacing w:after="0"/>
        <w:rPr>
          <w:sz w:val="20"/>
          <w:szCs w:val="20"/>
          <w:color w:val="auto"/>
        </w:rPr>
      </w:pPr>
      <w:r>
        <w:rPr>
          <w:rFonts w:ascii="Arial" w:cs="Arial" w:eastAsia="Arial" w:hAnsi="Arial"/>
          <w:sz w:val="18"/>
          <w:szCs w:val="18"/>
          <w:color w:val="auto"/>
        </w:rPr>
        <w:t>(Name of registrant in its charter)</w:t>
      </w: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568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1"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3200 Southwest Freeway, Suite 2240</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568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8"/>
          <w:szCs w:val="18"/>
          <w:color w:val="auto"/>
        </w:rPr>
        <w:t>(Address of principal executive offices)</w:t>
      </w:r>
    </w:p>
    <w:p>
      <w:pPr>
        <w:spacing w:after="0" w:line="220"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(713) 400-6400</w:t>
      </w:r>
    </w:p>
    <w:p>
      <w:pPr>
        <w:spacing w:after="0" w:line="40"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(Issuer's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4568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Borders>
              <w:top w:val="single" w:sz="8" w:color="auto"/>
            </w:tcBorders>
          </w:tcPr>
          <w:p>
            <w:pPr>
              <w:ind w:left="108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r>
      <w:tr>
        <w:trPr>
          <w:trHeight w:val="230"/>
        </w:trPr>
        <w:tc>
          <w:tcPr>
            <w:tcW w:w="3620" w:type="dxa"/>
            <w:vAlign w:val="bottom"/>
            <w:gridSpan w:val="2"/>
          </w:tcPr>
          <w:p>
            <w:pPr>
              <w:ind w:left="260"/>
              <w:spacing w:after="0"/>
              <w:rPr>
                <w:sz w:val="20"/>
                <w:szCs w:val="20"/>
                <w:color w:val="auto"/>
              </w:rPr>
            </w:pPr>
            <w:r>
              <w:rPr>
                <w:rFonts w:ascii="Arial" w:cs="Arial" w:eastAsia="Arial" w:hAnsi="Arial"/>
                <w:sz w:val="18"/>
                <w:szCs w:val="18"/>
                <w:color w:val="auto"/>
                <w:w w:val="95"/>
              </w:rPr>
              <w:t>Common Stock, par value $0.001 per share</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MRKR</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45-4497941</w:t>
      </w:r>
    </w:p>
    <w:p>
      <w:pPr>
        <w:spacing w:after="0" w:line="40"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(I.R.S. Employer Identification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wp:posOffset>
            </wp:positionH>
            <wp:positionV relativeFrom="paragraph">
              <wp:posOffset>-130175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77027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wp:posOffset>
            </wp:positionH>
            <wp:positionV relativeFrom="paragraph">
              <wp:posOffset>17145</wp:posOffset>
            </wp:positionV>
            <wp:extent cx="2494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600" w:right="220" w:hanging="590"/>
        <w:spacing w:after="0" w:line="386" w:lineRule="auto"/>
        <w:rPr>
          <w:sz w:val="20"/>
          <w:szCs w:val="20"/>
          <w:color w:val="auto"/>
        </w:rPr>
      </w:pPr>
      <w:r>
        <w:rPr>
          <w:rFonts w:ascii="Arial" w:cs="Arial" w:eastAsia="Arial" w:hAnsi="Arial"/>
          <w:sz w:val="15"/>
          <w:szCs w:val="15"/>
          <w:b w:val="1"/>
          <w:bCs w:val="1"/>
          <w:color w:val="auto"/>
        </w:rPr>
        <w:t xml:space="preserve">Name of each exchange on which registered </w:t>
      </w:r>
      <w:r>
        <w:rPr>
          <w:rFonts w:ascii="Arial" w:cs="Arial" w:eastAsia="Arial" w:hAnsi="Arial"/>
          <w:sz w:val="15"/>
          <w:szCs w:val="15"/>
          <w:color w:val="auto"/>
        </w:rPr>
        <w:t>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-348615</wp:posOffset>
            </wp:positionV>
            <wp:extent cx="23914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7360" w:space="320"/>
            <w:col w:w="3560"/>
          </w:cols>
          <w:pgMar w:left="320" w:top="675"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151" w:lineRule="exact"/>
        <w:rPr>
          <w:sz w:val="24"/>
          <w:szCs w:val="24"/>
          <w:color w:val="auto"/>
        </w:rPr>
      </w:pPr>
    </w:p>
    <w:tbl>
      <w:tblPr>
        <w:tblLayout w:type="fixed"/>
        <w:tblInd w:w="20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480"/>
              <w:spacing w:after="0"/>
              <w:rPr>
                <w:sz w:val="20"/>
                <w:szCs w:val="20"/>
                <w:color w:val="auto"/>
              </w:rPr>
            </w:pPr>
            <w:r>
              <w:rPr>
                <w:rFonts w:ascii="Arial" w:cs="Arial" w:eastAsia="Arial" w:hAnsi="Arial"/>
                <w:sz w:val="18"/>
                <w:szCs w:val="18"/>
                <w:color w:val="auto"/>
              </w:rPr>
              <w:t>Accelerated filer</w:t>
            </w:r>
          </w:p>
        </w:tc>
        <w:tc>
          <w:tcPr>
            <w:tcW w:w="1320" w:type="dxa"/>
            <w:vAlign w:val="bottom"/>
          </w:tcPr>
          <w:p>
            <w:pPr>
              <w:ind w:left="1160"/>
              <w:spacing w:after="0"/>
              <w:rPr>
                <w:sz w:val="20"/>
                <w:szCs w:val="20"/>
                <w:color w:val="auto"/>
              </w:rPr>
            </w:pPr>
            <w:r>
              <w:rPr>
                <w:rFonts w:ascii="Arial" w:cs="Arial" w:eastAsia="Arial" w:hAnsi="Arial"/>
                <w:sz w:val="18"/>
                <w:szCs w:val="18"/>
                <w:color w:val="auto"/>
              </w:rPr>
              <w:t>x</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480"/>
              <w:spacing w:after="0"/>
              <w:rPr>
                <w:sz w:val="20"/>
                <w:szCs w:val="20"/>
                <w:color w:val="auto"/>
              </w:rPr>
            </w:pPr>
            <w:r>
              <w:rPr>
                <w:rFonts w:ascii="Arial" w:cs="Arial" w:eastAsia="Arial" w:hAnsi="Arial"/>
                <w:sz w:val="18"/>
                <w:szCs w:val="18"/>
                <w:color w:val="auto"/>
              </w:rPr>
              <w:t>Smaller reporting company</w:t>
            </w:r>
          </w:p>
        </w:tc>
        <w:tc>
          <w:tcPr>
            <w:tcW w:w="1320" w:type="dxa"/>
            <w:vAlign w:val="bottom"/>
          </w:tcPr>
          <w:p>
            <w:pPr>
              <w:ind w:left="1160"/>
              <w:spacing w:after="0"/>
              <w:rPr>
                <w:sz w:val="20"/>
                <w:szCs w:val="20"/>
                <w:color w:val="auto"/>
              </w:rPr>
            </w:pPr>
            <w:r>
              <w:rPr>
                <w:rFonts w:ascii="Arial" w:cs="Arial" w:eastAsia="Arial" w:hAnsi="Arial"/>
                <w:sz w:val="18"/>
                <w:szCs w:val="18"/>
                <w:color w:val="auto"/>
              </w:rPr>
              <w:t>x</w:t>
            </w:r>
          </w:p>
        </w:tc>
      </w:tr>
      <w:tr>
        <w:trPr>
          <w:trHeight w:val="283"/>
        </w:trPr>
        <w:tc>
          <w:tcPr>
            <w:tcW w:w="2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20" w:type="dxa"/>
            <w:vAlign w:val="bottom"/>
          </w:tcPr>
          <w:p>
            <w:pPr>
              <w:ind w:left="1480"/>
              <w:spacing w:after="0"/>
              <w:rPr>
                <w:sz w:val="20"/>
                <w:szCs w:val="20"/>
                <w:color w:val="auto"/>
              </w:rPr>
            </w:pPr>
            <w:r>
              <w:rPr>
                <w:rFonts w:ascii="Arial" w:cs="Arial" w:eastAsia="Arial" w:hAnsi="Arial"/>
                <w:sz w:val="18"/>
                <w:szCs w:val="18"/>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4, 2020, the Company had 46,532,522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9600" w:type="dxa"/>
            <w:vAlign w:val="bottom"/>
          </w:tcPr>
          <w:p>
            <w:pPr>
              <w:spacing w:after="0"/>
              <w:rPr>
                <w:sz w:val="20"/>
                <w:szCs w:val="20"/>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209"/>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04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1</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1</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18"/>
                <w:szCs w:val="18"/>
                <w:color w:val="auto"/>
              </w:rPr>
            </w:pPr>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1</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18"/>
                <w:szCs w:val="18"/>
                <w:color w:val="auto"/>
              </w:rPr>
            </w:pPr>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months ended March 31, 2020 and 2019</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2</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18"/>
                <w:szCs w:val="18"/>
                <w:color w:val="auto"/>
              </w:rPr>
            </w:pPr>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 of Stockholders' Equity for the three months ended March 31, 2020 and 2019</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3</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18"/>
                <w:szCs w:val="18"/>
                <w:color w:val="auto"/>
              </w:rPr>
            </w:pPr>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three months ended March 31, 2020 and 2019</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4</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sz w:val="18"/>
                <w:szCs w:val="18"/>
                <w:color w:val="auto"/>
              </w:rPr>
            </w:pPr>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5</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w:t>
              </w:r>
            </w:hyperlink>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16">
              <w:r>
                <w:rPr>
                  <w:rFonts w:ascii="Arial" w:cs="Arial" w:eastAsia="Arial" w:hAnsi="Arial"/>
                  <w:sz w:val="18"/>
                  <w:szCs w:val="18"/>
                  <w:u w:val="single" w:color="auto"/>
                  <w:color w:val="0000EE"/>
                  <w:w w:val="89"/>
                </w:rPr>
                <w:t>14</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3.</w:t>
              </w:r>
            </w:hyperlink>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3">
              <w:r>
                <w:rPr>
                  <w:rFonts w:ascii="Arial" w:cs="Arial" w:eastAsia="Arial" w:hAnsi="Arial"/>
                  <w:sz w:val="18"/>
                  <w:szCs w:val="18"/>
                  <w:u w:val="single" w:color="auto"/>
                  <w:color w:val="0000EE"/>
                  <w:w w:val="89"/>
                </w:rPr>
                <w:t>20</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4.</w:t>
              </w:r>
            </w:hyperlink>
          </w:p>
        </w:tc>
        <w:tc>
          <w:tcPr>
            <w:tcW w:w="9600" w:type="dxa"/>
            <w:vAlign w:val="bottom"/>
            <w:shd w:val="clear" w:color="auto" w:fill="CCEEFF"/>
          </w:tcPr>
          <w:p>
            <w:pPr>
              <w:ind w:left="40"/>
              <w:spacing w:after="0"/>
              <w:rPr>
                <w:rFonts w:ascii="Arial" w:cs="Arial" w:eastAsia="Arial" w:hAnsi="Arial"/>
                <w:sz w:val="18"/>
                <w:szCs w:val="18"/>
                <w:color w:val="0000EE"/>
              </w:rPr>
            </w:pPr>
            <w:hyperlink w:anchor="page23">
              <w:r>
                <w:rPr>
                  <w:rFonts w:ascii="Arial" w:cs="Arial" w:eastAsia="Arial" w:hAnsi="Arial"/>
                  <w:sz w:val="18"/>
                  <w:szCs w:val="18"/>
                  <w:u w:val="single" w:color="auto"/>
                  <w:color w:val="0000EE"/>
                </w:rPr>
                <w:t>Controls and Procedures</w:t>
              </w:r>
              <w:r>
                <w:rPr>
                  <w:rFonts w:ascii="Arial" w:cs="Arial" w:eastAsia="Arial" w:hAnsi="Arial"/>
                  <w:sz w:val="18"/>
                  <w:szCs w:val="18"/>
                  <w:color w:val="0000EE"/>
                </w:rPr>
                <w:t>.</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3">
              <w:r>
                <w:rPr>
                  <w:rFonts w:ascii="Arial" w:cs="Arial" w:eastAsia="Arial" w:hAnsi="Arial"/>
                  <w:sz w:val="18"/>
                  <w:szCs w:val="18"/>
                  <w:u w:val="single" w:color="auto"/>
                  <w:color w:val="0000EE"/>
                  <w:w w:val="89"/>
                </w:rPr>
                <w:t>20</w:t>
              </w:r>
            </w:hyperlink>
          </w:p>
        </w:tc>
      </w:tr>
      <w:tr>
        <w:trPr>
          <w:trHeight w:val="216"/>
        </w:trPr>
        <w:tc>
          <w:tcPr>
            <w:tcW w:w="104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0400" w:type="dxa"/>
            <w:vAlign w:val="bottom"/>
            <w:gridSpan w:val="2"/>
            <w:shd w:val="clear" w:color="auto" w:fill="CCEEFF"/>
          </w:tcPr>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PART II – OTHER INFORMATION</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21</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1.</w:t>
              </w:r>
            </w:hyperlink>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21</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600" w:type="dxa"/>
            <w:vAlign w:val="bottom"/>
            <w:shd w:val="clear" w:color="auto" w:fill="CCEEFF"/>
          </w:tcPr>
          <w:p>
            <w:pPr>
              <w:ind w:left="40"/>
              <w:spacing w:after="0"/>
              <w:rPr>
                <w:rFonts w:ascii="Arial" w:cs="Arial" w:eastAsia="Arial" w:hAnsi="Arial"/>
                <w:sz w:val="18"/>
                <w:szCs w:val="18"/>
                <w:color w:val="0000EE"/>
              </w:rPr>
            </w:pPr>
            <w:hyperlink w:anchor="page24">
              <w:r>
                <w:rPr>
                  <w:rFonts w:ascii="Arial" w:cs="Arial" w:eastAsia="Arial" w:hAnsi="Arial"/>
                  <w:sz w:val="18"/>
                  <w:szCs w:val="18"/>
                  <w:u w:val="single" w:color="auto"/>
                  <w:color w:val="0000EE"/>
                </w:rPr>
                <w:t>Risk Factors</w:t>
              </w:r>
              <w:r>
                <w:rPr>
                  <w:rFonts w:ascii="Arial" w:cs="Arial" w:eastAsia="Arial" w:hAnsi="Arial"/>
                  <w:sz w:val="18"/>
                  <w:szCs w:val="18"/>
                  <w:color w:val="0000EE"/>
                </w:rPr>
                <w:t>.</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21</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2.</w:t>
              </w:r>
            </w:hyperlink>
          </w:p>
        </w:tc>
        <w:tc>
          <w:tcPr>
            <w:tcW w:w="9600" w:type="dxa"/>
            <w:vAlign w:val="bottom"/>
            <w:shd w:val="clear" w:color="auto" w:fill="CCEEFF"/>
          </w:tcPr>
          <w:p>
            <w:pPr>
              <w:ind w:left="40"/>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Unregistered Sales of Equity Securities and Use of Proceeds</w:t>
              </w:r>
              <w:r>
                <w:rPr>
                  <w:rFonts w:ascii="Arial" w:cs="Arial" w:eastAsia="Arial" w:hAnsi="Arial"/>
                  <w:sz w:val="18"/>
                  <w:szCs w:val="18"/>
                  <w:color w:val="0000EE"/>
                </w:rPr>
                <w:t>.</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56</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3.</w:t>
              </w:r>
            </w:hyperlink>
          </w:p>
        </w:tc>
        <w:tc>
          <w:tcPr>
            <w:tcW w:w="9600" w:type="dxa"/>
            <w:vAlign w:val="bottom"/>
            <w:shd w:val="clear" w:color="auto" w:fill="CCEEFF"/>
          </w:tcPr>
          <w:p>
            <w:pPr>
              <w:ind w:left="40"/>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Defaults Upon Senior Securities</w:t>
              </w:r>
              <w:r>
                <w:rPr>
                  <w:rFonts w:ascii="Arial" w:cs="Arial" w:eastAsia="Arial" w:hAnsi="Arial"/>
                  <w:sz w:val="18"/>
                  <w:szCs w:val="18"/>
                  <w:color w:val="0000EE"/>
                </w:rPr>
                <w:t>.</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56</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4.</w:t>
              </w:r>
            </w:hyperlink>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Mine Safety Disclosure.</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56</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5.</w:t>
              </w:r>
            </w:hyperlink>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Other Information.</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9">
              <w:r>
                <w:rPr>
                  <w:rFonts w:ascii="Arial" w:cs="Arial" w:eastAsia="Arial" w:hAnsi="Arial"/>
                  <w:sz w:val="18"/>
                  <w:szCs w:val="18"/>
                  <w:u w:val="single" w:color="auto"/>
                  <w:color w:val="0000EE"/>
                  <w:w w:val="89"/>
                </w:rPr>
                <w:t>56</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6.</w:t>
              </w:r>
            </w:hyperlink>
          </w:p>
        </w:tc>
        <w:tc>
          <w:tcPr>
            <w:tcW w:w="9600" w:type="dxa"/>
            <w:vAlign w:val="bottom"/>
            <w:shd w:val="clear" w:color="auto" w:fill="CCEEFF"/>
          </w:tcPr>
          <w:p>
            <w:pPr>
              <w:ind w:left="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Exhibits.</w:t>
              </w:r>
            </w:hyperlink>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60">
              <w:r>
                <w:rPr>
                  <w:rFonts w:ascii="Arial" w:cs="Arial" w:eastAsia="Arial" w:hAnsi="Arial"/>
                  <w:sz w:val="18"/>
                  <w:szCs w:val="18"/>
                  <w:u w:val="single" w:color="auto"/>
                  <w:color w:val="0000EE"/>
                  <w:w w:val="89"/>
                </w:rPr>
                <w:t>57</w:t>
              </w:r>
            </w:hyperlink>
          </w:p>
        </w:tc>
      </w:tr>
      <w:tr>
        <w:trPr>
          <w:trHeight w:val="216"/>
        </w:trPr>
        <w:tc>
          <w:tcPr>
            <w:tcW w:w="80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00" w:type="dxa"/>
            <w:vAlign w:val="bottom"/>
            <w:shd w:val="clear" w:color="auto" w:fill="CCEEFF"/>
          </w:tcPr>
          <w:p>
            <w:pPr>
              <w:spacing w:after="0"/>
              <w:rPr>
                <w:rFonts w:ascii="Arial" w:cs="Arial" w:eastAsia="Arial" w:hAnsi="Arial"/>
                <w:sz w:val="18"/>
                <w:szCs w:val="18"/>
                <w:u w:val="single" w:color="auto"/>
                <w:color w:val="0000EE"/>
                <w:w w:val="90"/>
              </w:rPr>
            </w:pPr>
            <w:hyperlink w:anchor="page61">
              <w:r>
                <w:rPr>
                  <w:rFonts w:ascii="Arial" w:cs="Arial" w:eastAsia="Arial" w:hAnsi="Arial"/>
                  <w:sz w:val="18"/>
                  <w:szCs w:val="18"/>
                  <w:u w:val="single" w:color="auto"/>
                  <w:color w:val="0000EE"/>
                  <w:w w:val="90"/>
                </w:rPr>
                <w:t>Signatures</w:t>
              </w:r>
            </w:hyperlink>
          </w:p>
        </w:tc>
        <w:tc>
          <w:tcPr>
            <w:tcW w:w="96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61">
              <w:r>
                <w:rPr>
                  <w:rFonts w:ascii="Arial" w:cs="Arial" w:eastAsia="Arial" w:hAnsi="Arial"/>
                  <w:sz w:val="18"/>
                  <w:szCs w:val="18"/>
                  <w:u w:val="single" w:color="auto"/>
                  <w:color w:val="0000EE"/>
                  <w:w w:val="89"/>
                </w:rPr>
                <w:t>58</w:t>
              </w:r>
            </w:hyperlink>
          </w:p>
        </w:tc>
      </w:tr>
      <w:tr>
        <w:trPr>
          <w:trHeight w:val="675"/>
        </w:trPr>
        <w:tc>
          <w:tcPr>
            <w:tcW w:w="80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left="3480"/>
        <w:spacing w:after="0" w:line="266" w:lineRule="auto"/>
        <w:rPr>
          <w:sz w:val="20"/>
          <w:szCs w:val="20"/>
          <w:color w:val="auto"/>
        </w:rPr>
      </w:pPr>
      <w:r>
        <w:rPr>
          <w:rFonts w:ascii="Arial" w:cs="Arial" w:eastAsia="Arial" w:hAnsi="Arial"/>
          <w:sz w:val="18"/>
          <w:szCs w:val="18"/>
          <w:b w:val="1"/>
          <w:bCs w:val="1"/>
          <w:color w:val="auto"/>
        </w:rPr>
        <w:t>MARKER THERAPEUTICS, INC. 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Prepaid expenses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Interest receivable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Right-of-use assets,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420" w:val="left"/>
          <w:tab w:leader="none" w:pos="154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40,255,062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43,903,949</w:t>
      </w:r>
    </w:p>
    <w:p>
      <w:pPr>
        <w:spacing w:after="0" w:line="23" w:lineRule="exact"/>
        <w:rPr>
          <w:sz w:val="20"/>
          <w:szCs w:val="20"/>
          <w:color w:val="auto"/>
        </w:rPr>
      </w:pPr>
    </w:p>
    <w:p>
      <w:pPr>
        <w:ind w:left="520"/>
        <w:spacing w:after="0"/>
        <w:tabs>
          <w:tab w:leader="none" w:pos="2060" w:val="left"/>
        </w:tabs>
        <w:rPr>
          <w:sz w:val="20"/>
          <w:szCs w:val="20"/>
          <w:color w:val="auto"/>
        </w:rPr>
      </w:pPr>
      <w:r>
        <w:rPr>
          <w:rFonts w:ascii="Arial" w:cs="Arial" w:eastAsia="Arial" w:hAnsi="Arial"/>
          <w:sz w:val="16"/>
          <w:szCs w:val="16"/>
          <w:color w:val="auto"/>
        </w:rPr>
        <w:t>1,716,092</w:t>
      </w:r>
      <w:r>
        <w:rPr>
          <w:sz w:val="20"/>
          <w:szCs w:val="20"/>
          <w:color w:val="auto"/>
        </w:rPr>
        <w:tab/>
      </w:r>
      <w:r>
        <w:rPr>
          <w:rFonts w:ascii="Arial" w:cs="Arial" w:eastAsia="Arial" w:hAnsi="Arial"/>
          <w:sz w:val="16"/>
          <w:szCs w:val="16"/>
          <w:color w:val="auto"/>
        </w:rPr>
        <w:t>1,526,442</w:t>
      </w:r>
    </w:p>
    <w:p>
      <w:pPr>
        <w:spacing w:after="0" w:line="32" w:lineRule="exact"/>
        <w:rPr>
          <w:sz w:val="20"/>
          <w:szCs w:val="20"/>
          <w:color w:val="auto"/>
        </w:rPr>
      </w:pPr>
    </w:p>
    <w:p>
      <w:pPr>
        <w:jc w:val="both"/>
        <w:ind w:left="740"/>
        <w:spacing w:after="0"/>
        <w:tabs>
          <w:tab w:leader="none" w:pos="2280" w:val="left"/>
        </w:tabs>
        <w:rPr>
          <w:sz w:val="20"/>
          <w:szCs w:val="20"/>
          <w:color w:val="auto"/>
        </w:rPr>
      </w:pPr>
      <w:r>
        <w:rPr>
          <w:rFonts w:ascii="Arial" w:cs="Arial" w:eastAsia="Arial" w:hAnsi="Arial"/>
          <w:sz w:val="18"/>
          <w:szCs w:val="18"/>
          <w:color w:val="auto"/>
        </w:rPr>
        <w:t>24,605</w:t>
      </w:r>
      <w:r>
        <w:rPr>
          <w:sz w:val="20"/>
          <w:szCs w:val="20"/>
          <w:color w:val="auto"/>
        </w:rPr>
        <w:tab/>
      </w:r>
      <w:r>
        <w:rPr>
          <w:rFonts w:ascii="Arial" w:cs="Arial" w:eastAsia="Arial" w:hAnsi="Arial"/>
          <w:sz w:val="18"/>
          <w:szCs w:val="18"/>
          <w:color w:val="auto"/>
        </w:rPr>
        <w:t>56,189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774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3" w:lineRule="exact"/>
        <w:rPr>
          <w:sz w:val="20"/>
          <w:szCs w:val="20"/>
          <w:color w:val="auto"/>
        </w:rPr>
      </w:pPr>
    </w:p>
    <w:p>
      <w:pPr>
        <w:jc w:val="both"/>
        <w:ind w:left="440"/>
        <w:spacing w:after="0"/>
        <w:tabs>
          <w:tab w:leader="none" w:pos="1960" w:val="left"/>
        </w:tabs>
        <w:rPr>
          <w:sz w:val="20"/>
          <w:szCs w:val="20"/>
          <w:color w:val="auto"/>
        </w:rPr>
      </w:pPr>
      <w:r>
        <w:rPr>
          <w:rFonts w:ascii="Arial" w:cs="Arial" w:eastAsia="Arial" w:hAnsi="Arial"/>
          <w:sz w:val="18"/>
          <w:szCs w:val="18"/>
          <w:color w:val="auto"/>
        </w:rPr>
        <w:t>41,995,759</w:t>
      </w:r>
      <w:r>
        <w:rPr>
          <w:sz w:val="20"/>
          <w:szCs w:val="20"/>
          <w:color w:val="auto"/>
        </w:rPr>
        <w:tab/>
      </w:r>
      <w:r>
        <w:rPr>
          <w:rFonts w:ascii="Arial" w:cs="Arial" w:eastAsia="Arial" w:hAnsi="Arial"/>
          <w:sz w:val="18"/>
          <w:szCs w:val="18"/>
          <w:color w:val="auto"/>
        </w:rPr>
        <w:t>45,486,580</w:t>
      </w:r>
    </w:p>
    <w:p>
      <w:pPr>
        <w:spacing w:after="0" w:line="238"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6"/>
          <w:szCs w:val="16"/>
          <w:color w:val="auto"/>
        </w:rPr>
        <w:t>482,084</w:t>
      </w:r>
      <w:r>
        <w:rPr>
          <w:sz w:val="20"/>
          <w:szCs w:val="20"/>
          <w:color w:val="auto"/>
        </w:rPr>
        <w:tab/>
      </w:r>
      <w:r>
        <w:rPr>
          <w:rFonts w:ascii="Arial" w:cs="Arial" w:eastAsia="Arial" w:hAnsi="Arial"/>
          <w:sz w:val="16"/>
          <w:szCs w:val="16"/>
          <w:color w:val="auto"/>
        </w:rPr>
        <w:t>417,528</w:t>
      </w:r>
    </w:p>
    <w:p>
      <w:pPr>
        <w:spacing w:after="0" w:line="46"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6"/>
          <w:szCs w:val="16"/>
          <w:color w:val="auto"/>
        </w:rPr>
        <w:t>407,813</w:t>
      </w:r>
      <w:r>
        <w:rPr>
          <w:sz w:val="20"/>
          <w:szCs w:val="20"/>
          <w:color w:val="auto"/>
        </w:rPr>
        <w:tab/>
      </w:r>
      <w:r>
        <w:rPr>
          <w:rFonts w:ascii="Arial" w:cs="Arial" w:eastAsia="Arial" w:hAnsi="Arial"/>
          <w:sz w:val="16"/>
          <w:szCs w:val="16"/>
          <w:color w:val="auto"/>
        </w:rPr>
        <w:t>455,174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17741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6"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6"/>
          <w:szCs w:val="16"/>
          <w:color w:val="auto"/>
        </w:rPr>
        <w:t>889,897</w:t>
      </w:r>
      <w:r>
        <w:rPr>
          <w:sz w:val="20"/>
          <w:szCs w:val="20"/>
          <w:color w:val="auto"/>
        </w:rPr>
        <w:tab/>
      </w:r>
      <w:r>
        <w:rPr>
          <w:rFonts w:ascii="Arial" w:cs="Arial" w:eastAsia="Arial" w:hAnsi="Arial"/>
          <w:sz w:val="16"/>
          <w:szCs w:val="16"/>
          <w:color w:val="auto"/>
        </w:rPr>
        <w:t>872,702</w:t>
      </w:r>
    </w:p>
    <w:p>
      <w:pPr>
        <w:spacing w:after="0" w:line="284" w:lineRule="exact"/>
        <w:rPr>
          <w:sz w:val="20"/>
          <w:szCs w:val="20"/>
          <w:color w:val="auto"/>
        </w:rPr>
      </w:pPr>
    </w:p>
    <w:p>
      <w:pPr>
        <w:spacing w:after="0"/>
        <w:tabs>
          <w:tab w:leader="none" w:pos="420" w:val="left"/>
          <w:tab w:leader="none" w:pos="1540" w:val="left"/>
          <w:tab w:leader="none" w:pos="19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42,885,656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46,359,282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17741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60" w:space="580"/>
            <w:col w:w="2900"/>
          </w:cols>
          <w:pgMar w:left="320" w:top="904" w:right="339" w:bottom="1440" w:gutter="0" w:footer="0" w:header="0"/>
        </w:sect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2,955,293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1,757,680</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ind w:left="260"/>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209,081</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204,132</w:t>
            </w:r>
          </w:p>
        </w:tc>
        <w:tc>
          <w:tcPr>
            <w:tcW w:w="80" w:type="dxa"/>
            <w:vAlign w:val="bottom"/>
          </w:tcPr>
          <w:p>
            <w:pPr>
              <w:spacing w:after="0"/>
              <w:rPr>
                <w:sz w:val="18"/>
                <w:szCs w:val="18"/>
                <w:color w:val="auto"/>
              </w:rPr>
            </w:pPr>
          </w:p>
        </w:tc>
      </w:tr>
      <w:tr>
        <w:trPr>
          <w:trHeight w:val="229"/>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31,000</w:t>
            </w:r>
          </w:p>
        </w:tc>
        <w:tc>
          <w:tcPr>
            <w:tcW w:w="80" w:type="dxa"/>
            <w:vAlign w:val="bottom"/>
            <w:shd w:val="clear" w:color="auto" w:fill="CCEEFF"/>
          </w:tcPr>
          <w:p>
            <w:pPr>
              <w:spacing w:after="0"/>
              <w:rPr>
                <w:sz w:val="19"/>
                <w:szCs w:val="19"/>
                <w:color w:val="auto"/>
              </w:rPr>
            </w:pPr>
          </w:p>
        </w:tc>
      </w:tr>
      <w:tr>
        <w:trPr>
          <w:trHeight w:val="210"/>
        </w:trPr>
        <w:tc>
          <w:tcPr>
            <w:tcW w:w="8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3,164,374</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1,992,812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Lease liability, net of current portion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226,111</w:t>
            </w: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280,247</w:t>
            </w:r>
          </w:p>
        </w:tc>
        <w:tc>
          <w:tcPr>
            <w:tcW w:w="80" w:type="dxa"/>
            <w:vAlign w:val="bottom"/>
          </w:tcPr>
          <w:p>
            <w:pPr>
              <w:spacing w:after="0"/>
              <w:rPr>
                <w:sz w:val="19"/>
                <w:szCs w:val="19"/>
                <w:color w:val="auto"/>
              </w:rPr>
            </w:pPr>
          </w:p>
        </w:tc>
      </w:tr>
      <w:tr>
        <w:trPr>
          <w:trHeight w:val="209"/>
        </w:trPr>
        <w:tc>
          <w:tcPr>
            <w:tcW w:w="82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226,111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3,390,485</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2,273,059</w:t>
            </w:r>
          </w:p>
        </w:tc>
        <w:tc>
          <w:tcPr>
            <w:tcW w:w="80" w:type="dxa"/>
            <w:vAlign w:val="bottom"/>
            <w:shd w:val="clear" w:color="auto" w:fill="CCEEFF"/>
          </w:tcPr>
          <w:p>
            <w:pPr>
              <w:spacing w:after="0"/>
              <w:rPr>
                <w:sz w:val="19"/>
                <w:szCs w:val="19"/>
                <w:color w:val="auto"/>
              </w:rPr>
            </w:pPr>
          </w:p>
        </w:tc>
      </w:tr>
      <w:tr>
        <w:trPr>
          <w:trHeight w:val="210"/>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200" w:type="dxa"/>
            <w:vAlign w:val="bottom"/>
          </w:tcPr>
          <w:p>
            <w:pPr>
              <w:ind w:left="260"/>
              <w:spacing w:after="0" w:line="201" w:lineRule="exact"/>
              <w:rPr>
                <w:sz w:val="20"/>
                <w:szCs w:val="20"/>
                <w:color w:val="auto"/>
              </w:rPr>
            </w:pPr>
            <w:r>
              <w:rPr>
                <w:rFonts w:ascii="Arial" w:cs="Arial" w:eastAsia="Arial" w:hAnsi="Arial"/>
                <w:sz w:val="18"/>
                <w:szCs w:val="18"/>
                <w:color w:val="auto"/>
                <w:w w:val="90"/>
              </w:rPr>
              <w:t>Preferred stock - $0.001 par value, 5 million shares authorized and 0 shares issued and outstanding at March</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31, 2020 and December 31, 2019, respectively</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82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Common stock, $0.001 par value, 150 million shares authorized, 46.5 million and 45.7 million shares issued</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outstanding as of March 31, 2020 and December 31, 2019, respectively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46,532</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45,728</w:t>
            </w:r>
          </w:p>
        </w:tc>
        <w:tc>
          <w:tcPr>
            <w:tcW w:w="80" w:type="dxa"/>
            <w:vAlign w:val="bottom"/>
            <w:shd w:val="clear" w:color="auto" w:fill="CCEEFF"/>
          </w:tcPr>
          <w:p>
            <w:pPr>
              <w:spacing w:after="0"/>
              <w:rPr>
                <w:sz w:val="20"/>
                <w:szCs w:val="20"/>
                <w:color w:val="auto"/>
              </w:rPr>
            </w:pPr>
          </w:p>
        </w:tc>
      </w:tr>
      <w:tr>
        <w:trPr>
          <w:trHeight w:val="216"/>
        </w:trPr>
        <w:tc>
          <w:tcPr>
            <w:tcW w:w="82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373,467,697</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371,573,909</w:t>
            </w:r>
          </w:p>
        </w:tc>
        <w:tc>
          <w:tcPr>
            <w:tcW w:w="80" w:type="dxa"/>
            <w:vAlign w:val="bottom"/>
          </w:tcPr>
          <w:p>
            <w:pPr>
              <w:spacing w:after="0"/>
              <w:rPr>
                <w:sz w:val="18"/>
                <w:szCs w:val="18"/>
                <w:color w:val="auto"/>
              </w:rPr>
            </w:pPr>
          </w:p>
        </w:tc>
      </w:tr>
      <w:tr>
        <w:trPr>
          <w:trHeight w:val="230"/>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(334,019,058)</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(327,533,414)</w:t>
            </w:r>
          </w:p>
        </w:tc>
      </w:tr>
      <w:tr>
        <w:trPr>
          <w:trHeight w:val="210"/>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39,495,171</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44,086,223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2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42,885,656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46,359,282</w:t>
            </w:r>
          </w:p>
        </w:tc>
        <w:tc>
          <w:tcPr>
            <w:tcW w:w="80" w:type="dxa"/>
            <w:vAlign w:val="bottom"/>
          </w:tcPr>
          <w:p>
            <w:pPr>
              <w:spacing w:after="0"/>
              <w:rPr>
                <w:sz w:val="21"/>
                <w:szCs w:val="2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5"/>
              </w:rPr>
              <w:t>For the Three Months Ended</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3,816,618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2,832,695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2,826,995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2,805,775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6,643,613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5,638,470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(6,643,613)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(5,638,470)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21"/>
              <w:spacing w:after="0"/>
              <w:rPr>
                <w:sz w:val="20"/>
                <w:szCs w:val="20"/>
                <w:color w:val="auto"/>
              </w:rPr>
            </w:pPr>
            <w:r>
              <w:rPr>
                <w:rFonts w:ascii="Arial" w:cs="Arial" w:eastAsia="Arial" w:hAnsi="Arial"/>
                <w:sz w:val="18"/>
                <w:szCs w:val="18"/>
                <w:color w:val="auto"/>
              </w:rPr>
              <w:t>126,969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328,545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(6,485,644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(5,318,925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46,084,383</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45,465,754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Additional</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4"/>
        </w:trPr>
        <w:tc>
          <w:tcPr>
            <w:tcW w:w="3620" w:type="dxa"/>
            <w:vAlign w:val="bottom"/>
          </w:tcPr>
          <w:p>
            <w:pPr>
              <w:spacing w:after="0"/>
              <w:rPr>
                <w:sz w:val="20"/>
                <w:szCs w:val="20"/>
                <w:color w:val="auto"/>
              </w:rPr>
            </w:pPr>
          </w:p>
        </w:tc>
        <w:tc>
          <w:tcPr>
            <w:tcW w:w="3020" w:type="dxa"/>
            <w:vAlign w:val="bottom"/>
            <w:gridSpan w:val="5"/>
          </w:tcPr>
          <w:p>
            <w:pPr>
              <w:ind w:left="84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Paid-in</w:t>
            </w:r>
          </w:p>
        </w:tc>
        <w:tc>
          <w:tcPr>
            <w:tcW w:w="154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7"/>
              </w:rPr>
              <w:t>Accumulated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6"/>
              </w:rPr>
              <w:t>Stockholders'</w:t>
            </w:r>
          </w:p>
        </w:tc>
      </w:tr>
      <w:tr>
        <w:trPr>
          <w:trHeight w:val="223"/>
        </w:trPr>
        <w:tc>
          <w:tcPr>
            <w:tcW w:w="3620" w:type="dxa"/>
            <w:vAlign w:val="bottom"/>
          </w:tcPr>
          <w:p>
            <w:pPr>
              <w:spacing w:after="0"/>
              <w:rPr>
                <w:sz w:val="19"/>
                <w:szCs w:val="19"/>
                <w:color w:val="auto"/>
              </w:rPr>
            </w:pPr>
          </w:p>
        </w:tc>
        <w:tc>
          <w:tcPr>
            <w:tcW w:w="160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Par value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Capital</w:t>
            </w:r>
          </w:p>
        </w:tc>
        <w:tc>
          <w:tcPr>
            <w:tcW w:w="154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45,728,831</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$371,573,909</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$(327,533,414)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$44,086,223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Warrants exercised for cash</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458,334</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549,541</w:t>
            </w: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550,000</w:t>
            </w:r>
          </w:p>
        </w:tc>
        <w:tc>
          <w:tcPr>
            <w:tcW w:w="80" w:type="dxa"/>
            <w:vAlign w:val="bottom"/>
          </w:tcPr>
          <w:p>
            <w:pPr>
              <w:spacing w:after="0"/>
              <w:rPr>
                <w:sz w:val="18"/>
                <w:szCs w:val="18"/>
                <w:color w:val="auto"/>
              </w:rPr>
            </w:pPr>
          </w:p>
        </w:tc>
      </w:tr>
      <w:tr>
        <w:trPr>
          <w:trHeight w:val="202"/>
        </w:trPr>
        <w:tc>
          <w:tcPr>
            <w:tcW w:w="36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as commitment</w:t>
            </w:r>
          </w:p>
        </w:tc>
        <w:tc>
          <w:tcPr>
            <w:tcW w:w="1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 for future financing</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345,357</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1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(345)</w:t>
            </w: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1,344,592</w:t>
            </w: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1,344,592</w:t>
            </w:r>
          </w:p>
        </w:tc>
        <w:tc>
          <w:tcPr>
            <w:tcW w:w="80" w:type="dxa"/>
            <w:vAlign w:val="bottom"/>
          </w:tcPr>
          <w:p>
            <w:pPr>
              <w:spacing w:after="0"/>
              <w:rPr>
                <w:sz w:val="18"/>
                <w:szCs w:val="18"/>
                <w:color w:val="auto"/>
              </w:rPr>
            </w:pPr>
          </w:p>
        </w:tc>
      </w:tr>
      <w:tr>
        <w:trPr>
          <w:trHeight w:val="229"/>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(6,485,644)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(6,485,644)</w:t>
            </w:r>
          </w:p>
        </w:tc>
      </w:t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46,532,522</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373,467,697</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(334,019,058</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39,495,171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Additional</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4"/>
        </w:trPr>
        <w:tc>
          <w:tcPr>
            <w:tcW w:w="3620" w:type="dxa"/>
            <w:vAlign w:val="bottom"/>
          </w:tcPr>
          <w:p>
            <w:pPr>
              <w:spacing w:after="0"/>
              <w:rPr>
                <w:sz w:val="20"/>
                <w:szCs w:val="20"/>
                <w:color w:val="auto"/>
              </w:rPr>
            </w:pPr>
          </w:p>
        </w:tc>
        <w:tc>
          <w:tcPr>
            <w:tcW w:w="3020" w:type="dxa"/>
            <w:vAlign w:val="bottom"/>
            <w:gridSpan w:val="5"/>
          </w:tcPr>
          <w:p>
            <w:pPr>
              <w:ind w:left="84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0"/>
                <w:szCs w:val="20"/>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Paid-in</w:t>
            </w:r>
          </w:p>
        </w:tc>
        <w:tc>
          <w:tcPr>
            <w:tcW w:w="154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w w:val="97"/>
              </w:rPr>
              <w:t>Accumulated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6"/>
              </w:rPr>
              <w:t>Stockholders'</w:t>
            </w:r>
          </w:p>
        </w:tc>
      </w:tr>
      <w:tr>
        <w:trPr>
          <w:trHeight w:val="223"/>
        </w:trPr>
        <w:tc>
          <w:tcPr>
            <w:tcW w:w="3620" w:type="dxa"/>
            <w:vAlign w:val="bottom"/>
          </w:tcPr>
          <w:p>
            <w:pPr>
              <w:spacing w:after="0"/>
              <w:rPr>
                <w:sz w:val="19"/>
                <w:szCs w:val="19"/>
                <w:color w:val="auto"/>
              </w:rPr>
            </w:pPr>
          </w:p>
        </w:tc>
        <w:tc>
          <w:tcPr>
            <w:tcW w:w="1600" w:type="dxa"/>
            <w:vAlign w:val="bottom"/>
            <w:tcBorders>
              <w:top w:val="single" w:sz="8" w:color="auto"/>
            </w:tcBorders>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Par value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Capital</w:t>
            </w:r>
          </w:p>
        </w:tc>
        <w:tc>
          <w:tcPr>
            <w:tcW w:w="1540" w:type="dxa"/>
            <w:vAlign w:val="bottom"/>
            <w:gridSpan w:val="2"/>
          </w:tcPr>
          <w:p>
            <w:pPr>
              <w:jc w:val="right"/>
              <w:ind w:right="601"/>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45,440,704</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$365,400,748</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$(306,105,450)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$59,340,738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Stock options exercised for cash</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11,980</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57,732</w:t>
            </w: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57,744</w:t>
            </w:r>
          </w:p>
        </w:tc>
        <w:tc>
          <w:tcPr>
            <w:tcW w:w="80" w:type="dxa"/>
            <w:vAlign w:val="bottom"/>
          </w:tcPr>
          <w:p>
            <w:pPr>
              <w:spacing w:after="0"/>
              <w:rPr>
                <w:sz w:val="18"/>
                <w:szCs w:val="18"/>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 exercised for cash</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5,377</w:t>
            </w: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1,525,946</w:t>
            </w: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1,525,976</w:t>
            </w:r>
          </w:p>
        </w:tc>
        <w:tc>
          <w:tcPr>
            <w:tcW w:w="80" w:type="dxa"/>
            <w:vAlign w:val="bottom"/>
          </w:tcPr>
          <w:p>
            <w:pPr>
              <w:spacing w:after="0"/>
              <w:rPr>
                <w:sz w:val="18"/>
                <w:szCs w:val="18"/>
                <w:color w:val="auto"/>
              </w:rPr>
            </w:pPr>
          </w:p>
        </w:tc>
      </w:tr>
      <w:tr>
        <w:trPr>
          <w:trHeight w:val="229"/>
        </w:trPr>
        <w:tc>
          <w:tcPr>
            <w:tcW w:w="3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(5,318,925)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(5,318,925)</w:t>
            </w:r>
          </w:p>
        </w:tc>
      </w:t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auto"/>
              </w:rPr>
              <w:t>Balance, March 31, 2019</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45,484,483</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45,484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366,989,803</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(311,424,375</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55,610,912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5"/>
              </w:rPr>
              <w:t>For the Three Months Ended</w:t>
            </w:r>
          </w:p>
        </w:tc>
      </w:tr>
      <w:tr>
        <w:trPr>
          <w:trHeight w:val="234"/>
        </w:trPr>
        <w:tc>
          <w:tcPr>
            <w:tcW w:w="67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b w:val="1"/>
                <w:bCs w:val="1"/>
                <w:color w:val="auto"/>
              </w:rPr>
              <w:t>Net loss</w:t>
            </w:r>
          </w:p>
        </w:tc>
        <w:tc>
          <w:tcPr>
            <w:tcW w:w="18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(6,485,644)</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(5,318,925)</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35,265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10,514</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fair value of warrant liabilities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1,344,592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1,525,976</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 on right-of-use assets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47,361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44,211</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8"/>
                <w:szCs w:val="18"/>
                <w:b w:val="1"/>
                <w:bCs w:val="1"/>
                <w:color w:val="auto"/>
              </w:rPr>
              <w:t>Changes in operating assets and liabilities: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deposits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(189,650)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(74,716)</w:t>
            </w:r>
          </w:p>
        </w:tc>
      </w:tr>
      <w:tr>
        <w:trPr>
          <w:trHeight w:val="216"/>
        </w:trPr>
        <w:tc>
          <w:tcPr>
            <w:tcW w:w="6700" w:type="dxa"/>
            <w:vAlign w:val="bottom"/>
          </w:tcPr>
          <w:p>
            <w:pPr>
              <w:ind w:left="380"/>
              <w:spacing w:after="0"/>
              <w:rPr>
                <w:sz w:val="20"/>
                <w:szCs w:val="20"/>
                <w:color w:val="auto"/>
              </w:rPr>
            </w:pPr>
            <w:r>
              <w:rPr>
                <w:rFonts w:ascii="Arial" w:cs="Arial" w:eastAsia="Arial" w:hAnsi="Arial"/>
                <w:sz w:val="18"/>
                <w:szCs w:val="18"/>
                <w:color w:val="auto"/>
              </w:rPr>
              <w:t>Interest receivable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31,584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(4,023)</w:t>
            </w:r>
          </w:p>
        </w:tc>
      </w:tr>
      <w:tr>
        <w:trPr>
          <w:trHeight w:val="216"/>
        </w:trPr>
        <w:tc>
          <w:tcPr>
            <w:tcW w:w="6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1,197,613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(27,628)</w:t>
            </w:r>
          </w:p>
        </w:tc>
      </w:tr>
      <w:tr>
        <w:trPr>
          <w:trHeight w:val="229"/>
        </w:trPr>
        <w:tc>
          <w:tcPr>
            <w:tcW w:w="670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(49,187)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(44,575)</w:t>
            </w:r>
          </w:p>
        </w:tc>
      </w:tr>
      <w:tr>
        <w:trPr>
          <w:trHeight w:val="210"/>
        </w:trPr>
        <w:tc>
          <w:tcPr>
            <w:tcW w:w="67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(4,099,066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(3,880,166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6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Purchase of property and equipment</w:t>
            </w:r>
          </w:p>
        </w:tc>
        <w:tc>
          <w:tcPr>
            <w:tcW w:w="1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(99,821)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(223,126)</w:t>
            </w:r>
          </w:p>
        </w:tc>
      </w:tr>
      <w:tr>
        <w:trPr>
          <w:trHeight w:val="209"/>
        </w:trPr>
        <w:tc>
          <w:tcPr>
            <w:tcW w:w="6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(223,126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57,744</w:t>
            </w:r>
          </w:p>
        </w:tc>
        <w:tc>
          <w:tcPr>
            <w:tcW w:w="80" w:type="dxa"/>
            <w:vAlign w:val="bottom"/>
          </w:tcPr>
          <w:p>
            <w:pPr>
              <w:spacing w:after="0"/>
              <w:rPr>
                <w:sz w:val="18"/>
                <w:szCs w:val="18"/>
                <w:color w:val="auto"/>
              </w:rPr>
            </w:pPr>
          </w:p>
        </w:tc>
      </w:tr>
      <w:tr>
        <w:trPr>
          <w:trHeight w:val="230"/>
        </w:trPr>
        <w:tc>
          <w:tcPr>
            <w:tcW w:w="6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Proceeds from exercise of warrants</w:t>
            </w:r>
          </w:p>
        </w:tc>
        <w:tc>
          <w:tcPr>
            <w:tcW w:w="1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550,000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9"/>
                <w:szCs w:val="19"/>
                <w:color w:val="auto"/>
              </w:rPr>
            </w:pPr>
          </w:p>
        </w:tc>
      </w:tr>
      <w:tr>
        <w:trPr>
          <w:trHeight w:val="209"/>
        </w:trPr>
        <w:tc>
          <w:tcPr>
            <w:tcW w:w="6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16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(3,648,887)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(4,040,169)</w:t>
            </w:r>
          </w:p>
        </w:tc>
        <w:tc>
          <w:tcPr>
            <w:tcW w:w="100" w:type="dxa"/>
            <w:vAlign w:val="bottom"/>
            <w:gridSpan w:val="2"/>
            <w:shd w:val="clear" w:color="auto" w:fill="CCEEFF"/>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43,903,949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61,746,748</w:t>
            </w:r>
          </w:p>
        </w:tc>
        <w:tc>
          <w:tcPr>
            <w:tcW w:w="80" w:type="dxa"/>
            <w:vAlign w:val="bottom"/>
            <w:shd w:val="clear" w:color="auto" w:fill="CCEEFF"/>
          </w:tcPr>
          <w:p>
            <w:pPr>
              <w:spacing w:after="0"/>
              <w:rPr>
                <w:sz w:val="19"/>
                <w:szCs w:val="19"/>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40,255,062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57,706,579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Issuance of common stock as commitment fee for future financing</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2020 or for any future interim period. The condensed consolidated balance sheet at March 31, 2020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2019 and notes thereto included in the Company’s annual report on Form 10-K filed on March 12,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FINANCIAL CONDITION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2020, the Company had cash and cash equivalents of approximately $40.3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Based on the Company’s revised clinical and research and development plans and its revised timing expectations related to the progress of its programs, and buildout of manufacturing and research facilities, and expansion of the Company’s corporate headquarters, discussed in Footnotes #6, #9 and #13 below, the Company expects that its cash and cash equivalents as of March 31, 2020 will enable the Company to fund its operating expenses and capital expenditure requirements into the latter half of the second quarter of 2021.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the research and development of its product candidates and seeks to discover additional product candidates;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660" w:right="20" w:hanging="652"/>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the Company’s ability to access capital, which could in the future negatively affect the Company’s liquidity. In addition, a recession or market correction resulting from the spread of COVID-19 could materially affect the Company’s business and the value of its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Not Yet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condensed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 sets forth the computation of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06044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06044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6044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06044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1780"/>
        <w:spacing w:after="0"/>
        <w:rPr>
          <w:sz w:val="20"/>
          <w:szCs w:val="20"/>
          <w:color w:val="auto"/>
        </w:rPr>
      </w:pPr>
      <w:r>
        <w:rPr>
          <w:rFonts w:ascii="Arial" w:cs="Arial" w:eastAsia="Arial" w:hAnsi="Arial"/>
          <w:sz w:val="17"/>
          <w:szCs w:val="17"/>
          <w:b w:val="1"/>
          <w:bCs w:val="1"/>
          <w:color w:val="auto"/>
        </w:rPr>
        <w:t>For the Three Months Ended</w:t>
      </w:r>
    </w:p>
    <w:p>
      <w:pPr>
        <w:spacing w:after="0" w:line="39"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99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499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3" w:lineRule="exact"/>
        <w:rPr>
          <w:sz w:val="20"/>
          <w:szCs w:val="20"/>
          <w:color w:val="auto"/>
        </w:rPr>
      </w:pPr>
    </w:p>
    <w:p>
      <w:pPr>
        <w:spacing w:after="0"/>
        <w:tabs>
          <w:tab w:leader="none" w:pos="240" w:val="left"/>
          <w:tab w:leader="none" w:pos="1300" w:val="left"/>
          <w:tab w:leader="none" w:pos="156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(6,485,644</w:t>
      </w:r>
      <w:r>
        <w:rPr>
          <w:rFonts w:ascii="Arial" w:cs="Arial" w:eastAsia="Arial" w:hAnsi="Arial"/>
          <w:sz w:val="18"/>
          <w:szCs w:val="18"/>
          <w:color w:val="auto"/>
        </w:rPr>
        <w:t>)</w:t>
      </w:r>
      <w:r>
        <w:rPr>
          <w:rFonts w:ascii="Arial" w:cs="Arial" w:eastAsia="Arial" w:hAnsi="Arial"/>
          <w:sz w:val="18"/>
          <w:szCs w:val="18"/>
          <w:u w:val="single" w:color="auto"/>
          <w:color w:val="auto"/>
        </w:rPr>
        <w:tab/>
        <w:t>$</w:t>
      </w:r>
      <w:r>
        <w:rPr>
          <w:sz w:val="20"/>
          <w:szCs w:val="20"/>
          <w:color w:val="auto"/>
        </w:rPr>
        <w:tab/>
      </w:r>
      <w:r>
        <w:rPr>
          <w:rFonts w:ascii="Arial" w:cs="Arial" w:eastAsia="Arial" w:hAnsi="Arial"/>
          <w:sz w:val="16"/>
          <w:szCs w:val="16"/>
          <w:u w:val="single" w:color="auto"/>
          <w:color w:val="auto"/>
        </w:rPr>
        <w:t>(5,318,925</w:t>
      </w:r>
      <w:r>
        <w:rPr>
          <w:rFonts w:ascii="Arial" w:cs="Arial" w:eastAsia="Arial" w:hAnsi="Arial"/>
          <w:sz w:val="16"/>
          <w:szCs w:val="16"/>
          <w:color w:val="auto"/>
        </w:rPr>
        <w:t>)</w:t>
      </w:r>
    </w:p>
    <w:p>
      <w:pPr>
        <w:spacing w:after="0" w:line="200" w:lineRule="exact"/>
        <w:rPr>
          <w:sz w:val="20"/>
          <w:szCs w:val="20"/>
          <w:color w:val="auto"/>
        </w:rPr>
      </w:pPr>
    </w:p>
    <w:p>
      <w:pPr>
        <w:spacing w:after="0" w:line="282" w:lineRule="exact"/>
        <w:rPr>
          <w:sz w:val="20"/>
          <w:szCs w:val="20"/>
          <w:color w:val="auto"/>
        </w:rPr>
      </w:pPr>
    </w:p>
    <w:p>
      <w:pPr>
        <w:ind w:left="220"/>
        <w:spacing w:after="0"/>
        <w:tabs>
          <w:tab w:leader="none" w:pos="1520" w:val="left"/>
        </w:tabs>
        <w:rPr>
          <w:sz w:val="20"/>
          <w:szCs w:val="20"/>
          <w:color w:val="auto"/>
        </w:rPr>
      </w:pPr>
      <w:r>
        <w:rPr>
          <w:rFonts w:ascii="Arial" w:cs="Arial" w:eastAsia="Arial" w:hAnsi="Arial"/>
          <w:sz w:val="17"/>
          <w:szCs w:val="17"/>
          <w:color w:val="auto"/>
        </w:rPr>
        <w:t>46,084,383</w:t>
      </w:r>
      <w:r>
        <w:rPr>
          <w:sz w:val="20"/>
          <w:szCs w:val="20"/>
          <w:color w:val="auto"/>
        </w:rPr>
        <w:tab/>
      </w:r>
      <w:r>
        <w:rPr>
          <w:rFonts w:ascii="Arial" w:cs="Arial" w:eastAsia="Arial" w:hAnsi="Arial"/>
          <w:sz w:val="17"/>
          <w:szCs w:val="17"/>
          <w:color w:val="auto"/>
        </w:rPr>
        <w:t>45,465,754</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(0.14)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4140"/>
          </w:cols>
          <w:pgMar w:left="320" w:top="908" w:right="3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ectPr>
          <w:pgSz w:w="11900" w:h="16838" w:orient="portrait"/>
          <w:cols w:equalWidth="0" w:num="1">
            <w:col w:w="11240"/>
          </w:cols>
          <w:pgMar w:left="320" w:top="9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06044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Common stock purchase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06044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Common stock warrants - liability treatment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780"/>
        <w:spacing w:after="0"/>
        <w:rPr>
          <w:sz w:val="20"/>
          <w:szCs w:val="20"/>
          <w:color w:val="auto"/>
        </w:rPr>
      </w:pPr>
      <w:r>
        <w:rPr>
          <w:rFonts w:ascii="Arial" w:cs="Arial" w:eastAsia="Arial" w:hAnsi="Arial"/>
          <w:sz w:val="17"/>
          <w:szCs w:val="17"/>
          <w:b w:val="1"/>
          <w:bCs w:val="1"/>
          <w:color w:val="auto"/>
        </w:rPr>
        <w:t>For the Three Months Ended</w:t>
      </w:r>
    </w:p>
    <w:p>
      <w:pPr>
        <w:spacing w:after="0" w:line="39"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r>
      <w:tr>
        <w:trPr>
          <w:trHeight w:val="195"/>
        </w:trPr>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6,291,000</w:t>
            </w:r>
          </w:p>
        </w:tc>
        <w:tc>
          <w:tcPr>
            <w:tcW w:w="28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4,538,000</w:t>
            </w:r>
          </w:p>
        </w:tc>
        <w:tc>
          <w:tcPr>
            <w:tcW w:w="20" w:type="dxa"/>
            <w:vAlign w:val="bottom"/>
          </w:tcPr>
          <w:p>
            <w:pPr>
              <w:spacing w:after="0"/>
              <w:rPr>
                <w:sz w:val="16"/>
                <w:szCs w:val="16"/>
                <w:color w:val="auto"/>
              </w:rPr>
            </w:pPr>
          </w:p>
        </w:tc>
      </w:tr>
      <w:tr>
        <w:trPr>
          <w:trHeight w:val="230"/>
        </w:trPr>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21,381,000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22,979,000</w:t>
            </w:r>
          </w:p>
        </w:tc>
      </w:tr>
    </w:tbl>
    <w:p>
      <w:pPr>
        <w:ind w:left="1860" w:hanging="885"/>
        <w:spacing w:after="0"/>
        <w:tabs>
          <w:tab w:leader="none" w:pos="1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27,000</w:t>
      </w:r>
    </w:p>
    <w:p>
      <w:pPr>
        <w:spacing w:after="0" w:line="58"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27,672,000</w:t>
      </w:r>
      <w:r>
        <w:rPr>
          <w:rFonts w:ascii="Arial" w:cs="Arial" w:eastAsia="Arial" w:hAnsi="Arial"/>
          <w:sz w:val="16"/>
          <w:szCs w:val="16"/>
          <w:color w:val="auto"/>
        </w:rPr>
        <w:t>27,544,000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4998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9987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-139065</wp:posOffset>
            </wp:positionV>
            <wp:extent cx="1499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6380" w:space="720"/>
            <w:col w:w="4140"/>
          </w:cols>
          <w:pgMar w:left="320" w:top="908" w:right="339" w:bottom="1440" w:gutter="0" w:footer="0" w:header="0"/>
          <w:type w:val="continuous"/>
        </w:sectPr>
      </w:pPr>
    </w:p>
    <w:p>
      <w:pPr>
        <w:spacing w:after="0" w:line="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leases office space under agreements classified as operating leases that expire on various dates through 2022. All of the Company’s lease liabilities result from the lease of its corporate headquarters in Houston, Texas, which expires in 2021, and its Jacksonville, Florida office space, which expires in 2022. 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 of use assets as the Company is not reasonably certain to exercise the options. Variable expenses generally represent the Company’s share of the landlord’s operating expenses. The Company does not act as a lessor or have any leases classified as financing leases.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excludes short-term leases having initial terms of 12 months or less from the new accounting guidance as an accounting policy election and recognizes rent expense on a straight-line basis over the lease term. The Company has two lease agreements, an office at the Florida Atlantic Research and Development Authority and laboratory space located at the Texas Medical Center in Houston, which are included in short-term lease expense below.</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the Company had operating lease liabilities of approximately $0.4 million and right of use assets of approximately $0.4 million, which were included in the condensed consolidated balance sheet.</w:t>
      </w:r>
    </w:p>
    <w:p>
      <w:pPr>
        <w:sectPr>
          <w:pgSz w:w="11900" w:h="16838" w:orient="portrait"/>
          <w:cols w:equalWidth="0" w:num="1">
            <w:col w:w="11240"/>
          </w:cols>
          <w:pgMar w:left="320" w:top="908"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quantitative information about the Company’s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Short-term lease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7741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9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55,000</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55,000</w:t>
            </w:r>
          </w:p>
        </w:tc>
      </w:tr>
      <w:tr>
        <w:trPr>
          <w:trHeight w:val="22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22,000</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3"/>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92,000</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2900"/>
          </w:cols>
          <w:pgMar w:left="320" w:top="908"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Other information:</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exchanged for new operating lease liabilities as of adoption date</w:t>
            </w:r>
          </w:p>
        </w:tc>
        <w:tc>
          <w:tcPr>
            <w:tcW w:w="170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Weighted-average remaining lease term as of March 31, 2020 – operating leases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as of adoption date – operating leases</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432"/>
        </w:trPr>
        <w:tc>
          <w:tcPr>
            <w:tcW w:w="8540" w:type="dxa"/>
            <w:vAlign w:val="bottom"/>
          </w:tcPr>
          <w:p>
            <w:pPr>
              <w:spacing w:after="0"/>
              <w:rPr>
                <w:sz w:val="20"/>
                <w:szCs w:val="20"/>
                <w:color w:val="auto"/>
              </w:rPr>
            </w:pPr>
            <w:r>
              <w:rPr>
                <w:rFonts w:ascii="Arial" w:cs="Arial" w:eastAsia="Arial" w:hAnsi="Arial"/>
                <w:sz w:val="18"/>
                <w:szCs w:val="18"/>
                <w:color w:val="auto"/>
              </w:rPr>
              <w:t>Maturities of the Company’s operating leases, excluding short-term leases, are as follows: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December 31, 2020</w:t>
            </w:r>
          </w:p>
        </w:tc>
        <w:tc>
          <w:tcPr>
            <w:tcW w:w="1700" w:type="dxa"/>
            <w:vAlign w:val="bottom"/>
            <w:gridSpan w:val="3"/>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174,000</w:t>
            </w:r>
          </w:p>
        </w:tc>
        <w:tc>
          <w:tcPr>
            <w:tcW w:w="8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226,000</w:t>
            </w:r>
          </w:p>
        </w:tc>
        <w:tc>
          <w:tcPr>
            <w:tcW w:w="80" w:type="dxa"/>
            <w:vAlign w:val="bottom"/>
          </w:tcPr>
          <w:p>
            <w:pPr>
              <w:spacing w:after="0"/>
              <w:rPr>
                <w:sz w:val="18"/>
                <w:szCs w:val="18"/>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68,000</w:t>
            </w:r>
          </w:p>
        </w:tc>
      </w:tr>
      <w:tr>
        <w:trPr>
          <w:trHeight w:val="209"/>
        </w:trPr>
        <w:tc>
          <w:tcPr>
            <w:tcW w:w="85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spacing w:after="0"/>
              <w:rPr>
                <w:sz w:val="18"/>
                <w:szCs w:val="18"/>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(33,000)</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Operating lease liabilities included in the Condensed Consolidated Balance Sheet at March 31, 2020</w:t>
            </w:r>
          </w:p>
        </w:tc>
        <w:tc>
          <w:tcPr>
            <w:tcW w:w="1380" w:type="dxa"/>
            <w:vAlign w:val="bottom"/>
            <w:gridSpan w:val="2"/>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23, 2020, the Company entered into an agreement to expand its corporate headquarters in Houston, Texas, which is expected to commence in the third quarter of 2020. The initial lease term is ten years with two five-year renewal options. Fixed rent payments under the initial term are approximately $5.6 million. Additionally, the Company is also responsible for its share of operating expenses.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2020, the Company entered into a lease for a manufacturing facility in Houston, Texas. The lease is contingent upon the landlord’s successful acquisition of the property and is expected to commence in the second or third quarter of 2020. The initial lease term is ten years with two five-year renewal options. Fixed rent payments under the initial term are approximately $11.1 million. Additionally, the Company is also responsible for its share of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 as of March 31, 2020 and December 31, 2019,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616,000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323,000</w:t>
            </w:r>
          </w:p>
        </w:tc>
        <w:tc>
          <w:tcPr>
            <w:tcW w:w="8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94,000</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Technology license fees</w:t>
            </w: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105,000</w:t>
            </w:r>
          </w:p>
        </w:tc>
        <w:tc>
          <w:tcPr>
            <w:tcW w:w="80" w:type="dxa"/>
            <w:vAlign w:val="bottom"/>
          </w:tcPr>
          <w:p>
            <w:pPr>
              <w:spacing w:after="0"/>
              <w:rPr>
                <w:sz w:val="18"/>
                <w:szCs w:val="18"/>
                <w:color w:val="auto"/>
              </w:rPr>
            </w:pPr>
          </w:p>
        </w:tc>
      </w:tr>
      <w:tr>
        <w:trPr>
          <w:trHeight w:val="23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243,000</w:t>
            </w:r>
          </w:p>
        </w:tc>
        <w:tc>
          <w:tcPr>
            <w:tcW w:w="80" w:type="dxa"/>
            <w:vAlign w:val="bottom"/>
            <w:shd w:val="clear" w:color="auto" w:fill="CCEEFF"/>
          </w:tcPr>
          <w:p>
            <w:pPr>
              <w:spacing w:after="0"/>
              <w:rPr>
                <w:sz w:val="19"/>
                <w:szCs w:val="19"/>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 LIABILITY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2020, all of the Company’s common stock purchase warrants previously treated as a liability expired.</w:t>
      </w: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summary of quantitative information with respect to valuation methodology and significant unobservable inputs used for the Company’s common stock purchase warrants that are categorized within Level 3 of the fair value hierarchy for the three months ended March 31, 2020 and 2019 is as follows: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2420" w:type="dxa"/>
            <w:vAlign w:val="bottom"/>
            <w:tcBorders>
              <w:bottom w:val="single" w:sz="8" w:color="auto"/>
            </w:tcBorders>
            <w:gridSpan w:val="5"/>
          </w:tcPr>
          <w:p>
            <w:pPr>
              <w:jc w:val="center"/>
              <w:ind w:left="274"/>
              <w:spacing w:after="0"/>
              <w:rPr>
                <w:sz w:val="20"/>
                <w:szCs w:val="20"/>
                <w:color w:val="auto"/>
              </w:rPr>
            </w:pPr>
            <w:r>
              <w:rPr>
                <w:rFonts w:ascii="Arial" w:cs="Arial" w:eastAsia="Arial" w:hAnsi="Arial"/>
                <w:sz w:val="18"/>
                <w:szCs w:val="18"/>
                <w:b w:val="1"/>
                <w:bCs w:val="1"/>
                <w:color w:val="auto"/>
                <w:w w:val="89"/>
              </w:rPr>
              <w:t>Weighted Average Inputs</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8300" w:type="dxa"/>
            <w:vAlign w:val="bottom"/>
          </w:tcPr>
          <w:p>
            <w:pPr>
              <w:spacing w:after="0"/>
              <w:rPr>
                <w:sz w:val="17"/>
                <w:szCs w:val="17"/>
                <w:color w:val="auto"/>
              </w:rPr>
            </w:pPr>
          </w:p>
        </w:tc>
        <w:tc>
          <w:tcPr>
            <w:tcW w:w="2780" w:type="dxa"/>
            <w:vAlign w:val="bottom"/>
            <w:gridSpan w:val="6"/>
          </w:tcPr>
          <w:p>
            <w:pPr>
              <w:jc w:val="center"/>
              <w:spacing w:after="0" w:line="205" w:lineRule="exact"/>
              <w:rPr>
                <w:sz w:val="20"/>
                <w:szCs w:val="20"/>
                <w:color w:val="auto"/>
              </w:rPr>
            </w:pPr>
            <w:r>
              <w:rPr>
                <w:rFonts w:ascii="Arial" w:cs="Arial" w:eastAsia="Arial" w:hAnsi="Arial"/>
                <w:sz w:val="18"/>
                <w:szCs w:val="18"/>
                <w:b w:val="1"/>
                <w:bCs w:val="1"/>
                <w:color w:val="auto"/>
                <w:w w:val="92"/>
              </w:rPr>
              <w:t>For the Three Months Ended</w:t>
            </w:r>
          </w:p>
        </w:tc>
        <w:tc>
          <w:tcPr>
            <w:tcW w:w="160" w:type="dxa"/>
            <w:vAlign w:val="bottom"/>
          </w:tcPr>
          <w:p>
            <w:pPr>
              <w:spacing w:after="0"/>
              <w:rPr>
                <w:sz w:val="17"/>
                <w:szCs w:val="17"/>
                <w:color w:val="auto"/>
              </w:rPr>
            </w:pPr>
          </w:p>
        </w:tc>
      </w:tr>
      <w:tr>
        <w:trPr>
          <w:trHeight w:val="234"/>
        </w:trPr>
        <w:tc>
          <w:tcPr>
            <w:tcW w:w="8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450"/>
              <w:spacing w:after="0"/>
              <w:rPr>
                <w:sz w:val="20"/>
                <w:szCs w:val="20"/>
                <w:color w:val="auto"/>
              </w:rPr>
            </w:pPr>
            <w:r>
              <w:rPr>
                <w:rFonts w:ascii="Arial" w:cs="Arial" w:eastAsia="Arial" w:hAnsi="Arial"/>
                <w:sz w:val="18"/>
                <w:szCs w:val="18"/>
                <w:b w:val="1"/>
                <w:bCs w:val="1"/>
                <w:color w:val="auto"/>
                <w:w w:val="93"/>
              </w:rPr>
              <w:t>March 31,</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30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900" w:type="dxa"/>
            <w:vAlign w:val="bottom"/>
            <w:tcBorders>
              <w:top w:val="single" w:sz="8" w:color="auto"/>
            </w:tcBorders>
            <w:shd w:val="clear" w:color="auto" w:fill="CCEEFF"/>
          </w:tcPr>
          <w:p>
            <w:pPr>
              <w:jc w:val="right"/>
              <w:ind w:right="734"/>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9.72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Contractual term (years)</w:t>
            </w:r>
          </w:p>
        </w:tc>
        <w:tc>
          <w:tcPr>
            <w:tcW w:w="9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0.83</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Risk-free rate</w:t>
            </w:r>
          </w:p>
        </w:tc>
        <w:tc>
          <w:tcPr>
            <w:tcW w:w="9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Financial liabilities measured at fair value on a recurring basis are summarized below and disclosed on the balance sheet under Warrant liability: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Fair value measured at March 31, 2020</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91"/>
              </w:rPr>
              <w:t>Quoted prices in active</w:t>
            </w:r>
          </w:p>
        </w:tc>
        <w:tc>
          <w:tcPr>
            <w:tcW w:w="220" w:type="dxa"/>
            <w:vAlign w:val="bottom"/>
          </w:tcPr>
          <w:p>
            <w:pPr>
              <w:spacing w:after="0"/>
              <w:rPr>
                <w:sz w:val="16"/>
                <w:szCs w:val="16"/>
                <w:color w:val="auto"/>
              </w:rPr>
            </w:pPr>
          </w:p>
        </w:tc>
        <w:tc>
          <w:tcPr>
            <w:tcW w:w="2000" w:type="dxa"/>
            <w:vAlign w:val="bottom"/>
            <w:gridSpan w:val="2"/>
          </w:tcPr>
          <w:p>
            <w:pPr>
              <w:jc w:val="center"/>
              <w:ind w:right="480"/>
              <w:spacing w:after="0" w:line="195" w:lineRule="exact"/>
              <w:rPr>
                <w:sz w:val="20"/>
                <w:szCs w:val="20"/>
                <w:color w:val="auto"/>
              </w:rPr>
            </w:pPr>
            <w:r>
              <w:rPr>
                <w:rFonts w:ascii="Arial" w:cs="Arial" w:eastAsia="Arial" w:hAnsi="Arial"/>
                <w:sz w:val="18"/>
                <w:szCs w:val="18"/>
                <w:color w:val="auto"/>
                <w:w w:val="92"/>
              </w:rPr>
              <w:t>Significant other</w:t>
            </w:r>
          </w:p>
        </w:tc>
        <w:tc>
          <w:tcPr>
            <w:tcW w:w="180" w:type="dxa"/>
            <w:vAlign w:val="bottom"/>
          </w:tcPr>
          <w:p>
            <w:pPr>
              <w:spacing w:after="0"/>
              <w:rPr>
                <w:sz w:val="16"/>
                <w:szCs w:val="16"/>
                <w:color w:val="auto"/>
              </w:rPr>
            </w:pPr>
          </w:p>
        </w:tc>
        <w:tc>
          <w:tcPr>
            <w:tcW w:w="204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96"/>
              </w:rPr>
              <w:t>Significant</w:t>
            </w: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markets</w:t>
            </w:r>
          </w:p>
        </w:tc>
        <w:tc>
          <w:tcPr>
            <w:tcW w:w="220" w:type="dxa"/>
            <w:vAlign w:val="bottom"/>
          </w:tcPr>
          <w:p>
            <w:pPr>
              <w:spacing w:after="0"/>
              <w:rPr>
                <w:sz w:val="19"/>
                <w:szCs w:val="19"/>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observable inputs</w:t>
            </w:r>
          </w:p>
        </w:tc>
        <w:tc>
          <w:tcPr>
            <w:tcW w:w="18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unobservable inputs</w:t>
            </w:r>
          </w:p>
        </w:tc>
        <w:tc>
          <w:tcPr>
            <w:tcW w:w="280" w:type="dxa"/>
            <w:vAlign w:val="bottom"/>
          </w:tcPr>
          <w:p>
            <w:pPr>
              <w:spacing w:after="0"/>
              <w:rPr>
                <w:sz w:val="19"/>
                <w:szCs w:val="19"/>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 at</w:t>
            </w:r>
          </w:p>
        </w:tc>
      </w:tr>
      <w:tr>
        <w:trPr>
          <w:trHeight w:val="230"/>
        </w:trPr>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(Level 1)</w:t>
            </w:r>
          </w:p>
        </w:tc>
        <w:tc>
          <w:tcPr>
            <w:tcW w:w="220" w:type="dxa"/>
            <w:vAlign w:val="bottom"/>
          </w:tcPr>
          <w:p>
            <w:pPr>
              <w:spacing w:after="0"/>
              <w:rPr>
                <w:sz w:val="20"/>
                <w:szCs w:val="20"/>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(Level 2)</w:t>
            </w:r>
          </w:p>
        </w:tc>
        <w:tc>
          <w:tcPr>
            <w:tcW w:w="180" w:type="dxa"/>
            <w:vAlign w:val="bottom"/>
          </w:tcPr>
          <w:p>
            <w:pPr>
              <w:spacing w:after="0"/>
              <w:rPr>
                <w:sz w:val="20"/>
                <w:szCs w:val="20"/>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(Level 3)</w:t>
            </w:r>
          </w:p>
        </w:tc>
        <w:tc>
          <w:tcPr>
            <w:tcW w:w="28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31, 2020</w:t>
            </w:r>
          </w:p>
        </w:tc>
      </w:tr>
      <w:tr>
        <w:trPr>
          <w:trHeight w:val="209"/>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6"/>
          </w:tcPr>
          <w:p>
            <w:pPr>
              <w:ind w:left="340"/>
              <w:spacing w:after="0"/>
              <w:rPr>
                <w:sz w:val="20"/>
                <w:szCs w:val="20"/>
                <w:color w:val="auto"/>
              </w:rPr>
            </w:pPr>
            <w:r>
              <w:rPr>
                <w:rFonts w:ascii="Arial" w:cs="Arial" w:eastAsia="Arial" w:hAnsi="Arial"/>
                <w:sz w:val="18"/>
                <w:szCs w:val="18"/>
                <w:b w:val="1"/>
                <w:bCs w:val="1"/>
                <w:color w:val="auto"/>
              </w:rPr>
              <w:t>Fair value measured at December 31, 2019</w:t>
            </w: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380" w:type="dxa"/>
            <w:vAlign w:val="bottom"/>
          </w:tcPr>
          <w:p>
            <w:pPr>
              <w:spacing w:after="0"/>
              <w:rPr>
                <w:sz w:val="16"/>
                <w:szCs w:val="16"/>
                <w:color w:val="auto"/>
              </w:rPr>
            </w:pPr>
          </w:p>
        </w:tc>
        <w:tc>
          <w:tcPr>
            <w:tcW w:w="1920" w:type="dxa"/>
            <w:vAlign w:val="bottom"/>
          </w:tcPr>
          <w:p>
            <w:pPr>
              <w:jc w:val="right"/>
              <w:spacing w:after="0" w:line="195" w:lineRule="exact"/>
              <w:rPr>
                <w:sz w:val="20"/>
                <w:szCs w:val="20"/>
                <w:color w:val="auto"/>
              </w:rPr>
            </w:pPr>
            <w:r>
              <w:rPr>
                <w:rFonts w:ascii="Arial" w:cs="Arial" w:eastAsia="Arial" w:hAnsi="Arial"/>
                <w:sz w:val="18"/>
                <w:szCs w:val="18"/>
                <w:color w:val="auto"/>
              </w:rPr>
              <w:t>Quoted prices in active</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ind w:left="340"/>
              <w:spacing w:after="0" w:line="195" w:lineRule="exact"/>
              <w:rPr>
                <w:sz w:val="20"/>
                <w:szCs w:val="20"/>
                <w:color w:val="auto"/>
              </w:rPr>
            </w:pPr>
            <w:r>
              <w:rPr>
                <w:rFonts w:ascii="Arial" w:cs="Arial" w:eastAsia="Arial" w:hAnsi="Arial"/>
                <w:sz w:val="18"/>
                <w:szCs w:val="18"/>
                <w:color w:val="auto"/>
              </w:rPr>
              <w:t>Significant other</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tcPr>
          <w:p>
            <w:pPr>
              <w:ind w:left="380"/>
              <w:spacing w:after="0" w:line="195" w:lineRule="exact"/>
              <w:rPr>
                <w:sz w:val="20"/>
                <w:szCs w:val="20"/>
                <w:color w:val="auto"/>
              </w:rPr>
            </w:pPr>
            <w:r>
              <w:rPr>
                <w:rFonts w:ascii="Arial" w:cs="Arial" w:eastAsia="Arial" w:hAnsi="Arial"/>
                <w:sz w:val="18"/>
                <w:szCs w:val="18"/>
                <w:color w:val="auto"/>
              </w:rPr>
              <w:t>Significant</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9"/>
        </w:trPr>
        <w:tc>
          <w:tcPr>
            <w:tcW w:w="2380" w:type="dxa"/>
            <w:vAlign w:val="bottom"/>
          </w:tcPr>
          <w:p>
            <w:pPr>
              <w:spacing w:after="0"/>
              <w:rPr>
                <w:sz w:val="19"/>
                <w:szCs w:val="19"/>
                <w:color w:val="auto"/>
              </w:rPr>
            </w:pPr>
          </w:p>
        </w:tc>
        <w:tc>
          <w:tcPr>
            <w:tcW w:w="1920" w:type="dxa"/>
            <w:vAlign w:val="bottom"/>
          </w:tcPr>
          <w:p>
            <w:pPr>
              <w:jc w:val="center"/>
              <w:ind w:left="150"/>
              <w:spacing w:after="0"/>
              <w:rPr>
                <w:sz w:val="20"/>
                <w:szCs w:val="20"/>
                <w:color w:val="auto"/>
              </w:rPr>
            </w:pPr>
            <w:r>
              <w:rPr>
                <w:rFonts w:ascii="Arial" w:cs="Arial" w:eastAsia="Arial" w:hAnsi="Arial"/>
                <w:sz w:val="18"/>
                <w:szCs w:val="18"/>
                <w:color w:val="auto"/>
                <w:w w:val="87"/>
              </w:rPr>
              <w:t>markets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center"/>
              <w:ind w:left="173"/>
              <w:spacing w:after="0"/>
              <w:rPr>
                <w:sz w:val="20"/>
                <w:szCs w:val="20"/>
                <w:color w:val="auto"/>
              </w:rPr>
            </w:pPr>
            <w:r>
              <w:rPr>
                <w:rFonts w:ascii="Arial" w:cs="Arial" w:eastAsia="Arial" w:hAnsi="Arial"/>
                <w:sz w:val="18"/>
                <w:szCs w:val="18"/>
                <w:color w:val="auto"/>
                <w:w w:val="90"/>
              </w:rPr>
              <w:t>observable inputs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unobservable inputs</w:t>
            </w:r>
          </w:p>
        </w:tc>
        <w:tc>
          <w:tcPr>
            <w:tcW w:w="200" w:type="dxa"/>
            <w:vAlign w:val="bottom"/>
          </w:tcPr>
          <w:p>
            <w:pPr>
              <w:spacing w:after="0"/>
              <w:rPr>
                <w:sz w:val="19"/>
                <w:szCs w:val="19"/>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Fair value at</w:t>
            </w:r>
          </w:p>
        </w:tc>
      </w:tr>
      <w:tr>
        <w:trPr>
          <w:trHeight w:val="230"/>
        </w:trPr>
        <w:tc>
          <w:tcPr>
            <w:tcW w:w="2380" w:type="dxa"/>
            <w:vAlign w:val="bottom"/>
          </w:tcPr>
          <w:p>
            <w:pPr>
              <w:spacing w:after="0"/>
              <w:rPr>
                <w:sz w:val="20"/>
                <w:szCs w:val="20"/>
                <w:color w:val="auto"/>
              </w:rPr>
            </w:pPr>
          </w:p>
        </w:tc>
        <w:tc>
          <w:tcPr>
            <w:tcW w:w="1920" w:type="dxa"/>
            <w:vAlign w:val="bottom"/>
          </w:tcPr>
          <w:p>
            <w:pPr>
              <w:jc w:val="center"/>
              <w:ind w:left="17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tcPr>
          <w:p>
            <w:pPr>
              <w:jc w:val="center"/>
              <w:ind w:left="173"/>
              <w:spacing w:after="0"/>
              <w:rPr>
                <w:sz w:val="20"/>
                <w:szCs w:val="20"/>
                <w:color w:val="auto"/>
              </w:rPr>
            </w:pPr>
            <w:r>
              <w:rPr>
                <w:rFonts w:ascii="Arial" w:cs="Arial" w:eastAsia="Arial" w:hAnsi="Arial"/>
                <w:sz w:val="18"/>
                <w:szCs w:val="18"/>
                <w:color w:val="auto"/>
                <w:w w:val="97"/>
              </w:rPr>
              <w:t>(Level 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(Level 3)</w:t>
            </w:r>
          </w:p>
        </w:tc>
        <w:tc>
          <w:tcPr>
            <w:tcW w:w="200" w:type="dxa"/>
            <w:vAlign w:val="bottom"/>
          </w:tcPr>
          <w:p>
            <w:pPr>
              <w:spacing w:after="0"/>
              <w:rPr>
                <w:sz w:val="20"/>
                <w:szCs w:val="20"/>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2019</w:t>
            </w: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920" w:type="dxa"/>
            <w:vAlign w:val="bottom"/>
            <w:tcBorders>
              <w:top w:val="single" w:sz="8" w:color="auto"/>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1573"/>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accounting standards define fair value as the amount that would be received to sell an asset or paid to transfer a liability in an orderly transaction between market participants. As such, fair value is determined based upon assumptions that market participants would use in pricing an asset or liability. Fair value measurements are rated on a three-tier hierarchy as follows:</w:t>
      </w:r>
    </w:p>
    <w:p>
      <w:pPr>
        <w:spacing w:after="0" w:line="18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assets or liabilities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inputs: Inputs, other than quoted prices included in Level 1, that are observable either directly or indirectly; and</w:t>
      </w:r>
    </w:p>
    <w:p>
      <w:pPr>
        <w:spacing w:after="0" w:line="225" w:lineRule="exact"/>
        <w:rPr>
          <w:rFonts w:ascii="Arial" w:cs="Arial" w:eastAsia="Arial" w:hAnsi="Arial"/>
          <w:sz w:val="18"/>
          <w:szCs w:val="18"/>
          <w:color w:val="auto"/>
        </w:rPr>
      </w:pPr>
    </w:p>
    <w:p>
      <w:pPr>
        <w:ind w:right="120" w:firstLine="332"/>
        <w:spacing w:after="0" w:line="500"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inputs: Unobservable inputs for which there is little or no market data, which require the reporting entity to develop its own assumptions. There were no transfers between Level 1, 2 or 3 during the three months ended March 31, 2020.</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following table presents changes in Level 3 liabilities measured at fair value for the three months ended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Warrant</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Liability</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2020</w:t>
            </w:r>
          </w:p>
        </w:tc>
        <w:tc>
          <w:tcPr>
            <w:tcW w:w="1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2020</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NOTE 9: COMMITMENTS AND CONTINGENCIES</w:t>
            </w:r>
          </w:p>
        </w:tc>
        <w:tc>
          <w:tcPr>
            <w:tcW w:w="1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arbitration proceeding was brought against the Company before the Financial Industry Regulatory Authority, Inc. by a broker seeking to be paid approximately $1 million as compensation for two 2018 transactions, a warrant conversion and a private placement brokered by another broker. The broker’s claims are based on a placement agent agreement for a private placement it brokered in 2017, under which it alleges it is entitled to compensation for the 2018 transactions. The Company believes it has defenses to all of the allegations and intends to vigorously defend itself in this matter.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On March 26, 2020 the Company entered into an agreement with a vendor to design, engineer, build and eventually install modular cleanrooms in a manufacturing facility, which the Company expects to lease with a commencement date in the second or third quarter of 2020. The total fees for this project to be substantially completed by December 31, 2020 are estimated to be $6.0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2020, certain outstanding warrants were exercised for 458,334 shares of common stock providing aggregate proceeds to the Company of approximately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Capital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28, 2020, the Company entered into a common stock purchase agreement (the “Purchase Agreement”) with Aspire Capital Fund, LLC (“Aspire Capital”) which provides that, upon the terms and subject to the conditions and limitations set forth therein, Aspire Capital is committed to purchase up to an aggregate of $30.0 million of shares of the Company’s common stock over the 30-month term of the purchase agreement. In consideration for entering into the purchase agreement, the Company issued to Aspire Capital 345,357 shares of the Company’s common stock as a commitment fee. The Company recorded the commitment fee to additional paid in capital. As of March 31, 2020, Aspire Capital had not purchased any shares under the Purchase Agreement.</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may request daily up to 0.1 million shares to be purchased with a maximum purchase commitment of 9.2 million shares over the term of the arrangement. The purchase price will generally be 97% of the stock price on the date of purchase.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March 31, 2020 and changes during the period is presented below:</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640"/>
        <w:spacing w:after="0" w:line="257" w:lineRule="auto"/>
        <w:rPr>
          <w:sz w:val="20"/>
          <w:szCs w:val="20"/>
          <w:color w:val="auto"/>
        </w:rPr>
      </w:pPr>
      <w:r>
        <w:rPr>
          <w:rFonts w:ascii="Arial" w:cs="Arial" w:eastAsia="Arial" w:hAnsi="Arial"/>
          <w:sz w:val="18"/>
          <w:szCs w:val="18"/>
          <w:b w:val="1"/>
          <w:bCs w:val="1"/>
          <w:color w:val="auto"/>
        </w:rPr>
        <w:t xml:space="preserve">Balance - January 1, 2020 </w:t>
      </w:r>
      <w:r>
        <w:rPr>
          <w:rFonts w:ascii="Arial" w:cs="Arial" w:eastAsia="Arial" w:hAnsi="Arial"/>
          <w:sz w:val="18"/>
          <w:szCs w:val="18"/>
          <w:color w:val="auto"/>
        </w:rPr>
        <w:t>Exercised for cash Expired or cancelled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 March 31, 2020</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STOCK-BASED COMPENSATION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 Average</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9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Number of</w:t>
            </w:r>
          </w:p>
        </w:tc>
        <w:tc>
          <w:tcPr>
            <w:tcW w:w="19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9"/>
                <w:szCs w:val="19"/>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19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Warrants</w:t>
            </w:r>
          </w:p>
        </w:tc>
        <w:tc>
          <w:tcPr>
            <w:tcW w:w="16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 Price</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Life (in years)</w:t>
            </w:r>
          </w:p>
        </w:tc>
        <w:tc>
          <w:tcPr>
            <w:tcW w:w="160" w:type="dxa"/>
            <w:vAlign w:val="bottom"/>
          </w:tcPr>
          <w:p>
            <w:pPr>
              <w:spacing w:after="0"/>
              <w:rPr>
                <w:sz w:val="20"/>
                <w:szCs w:val="20"/>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r>
      <w:tr>
        <w:trPr>
          <w:trHeight w:val="195"/>
        </w:trPr>
        <w:tc>
          <w:tcPr>
            <w:tcW w:w="1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22,664,000</w:t>
            </w:r>
          </w:p>
        </w:tc>
        <w:tc>
          <w:tcPr>
            <w:tcW w:w="34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4.71</w:t>
            </w:r>
          </w:p>
        </w:tc>
        <w:tc>
          <w:tcPr>
            <w:tcW w:w="320" w:type="dxa"/>
            <w:vAlign w:val="bottom"/>
          </w:tcPr>
          <w:p>
            <w:pPr>
              <w:spacing w:after="0"/>
              <w:rPr>
                <w:sz w:val="16"/>
                <w:szCs w:val="16"/>
                <w:color w:val="auto"/>
              </w:rPr>
            </w:pPr>
          </w:p>
        </w:tc>
        <w:tc>
          <w:tcPr>
            <w:tcW w:w="1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3.33</w:t>
            </w:r>
          </w:p>
        </w:tc>
        <w:tc>
          <w:tcPr>
            <w:tcW w:w="3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954,000</w:t>
            </w:r>
          </w:p>
        </w:tc>
        <w:tc>
          <w:tcPr>
            <w:tcW w:w="20" w:type="dxa"/>
            <w:vAlign w:val="bottom"/>
          </w:tcPr>
          <w:p>
            <w:pPr>
              <w:spacing w:after="0"/>
              <w:rPr>
                <w:sz w:val="16"/>
                <w:szCs w:val="16"/>
                <w:color w:val="auto"/>
              </w:rPr>
            </w:pPr>
          </w:p>
        </w:tc>
      </w:tr>
      <w:tr>
        <w:trPr>
          <w:trHeight w:val="216"/>
        </w:trPr>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(458,000)</w:t>
            </w: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4"/>
        </w:trPr>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(825,000)</w:t>
            </w:r>
          </w:p>
        </w:tc>
        <w:tc>
          <w:tcPr>
            <w:tcW w:w="160" w:type="dxa"/>
            <w:vAlign w:val="bottom"/>
          </w:tcPr>
          <w:p>
            <w:pPr>
              <w:spacing w:after="0"/>
              <w:rPr>
                <w:sz w:val="21"/>
                <w:szCs w:val="21"/>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7.10</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21,381,000</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-607695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-325120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40" w:lineRule="exact"/>
        <w:rPr>
          <w:sz w:val="20"/>
          <w:szCs w:val="20"/>
          <w:color w:val="auto"/>
        </w:rPr>
      </w:pPr>
    </w:p>
    <w:p>
      <w:pPr>
        <w:sectPr>
          <w:pgSz w:w="11900" w:h="16838" w:orient="portrait"/>
          <w:cols w:equalWidth="0" w:num="2">
            <w:col w:w="3640" w:space="200"/>
            <w:col w:w="7400"/>
          </w:cols>
          <w:pgMar w:left="320" w:top="908"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 of 2019 Performance Bonuses and 2020 Equity Incentive Awards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10, 2020, upon the recommendation of the compensation committee and pursuant to the Company’s 2014 Omnibus Stock Ownership Plan, the Company’s board of directors approved a total of 1,170,000 options to purchase the Company’s common stock as (i) performance bonuses for 2019 performance and (ii) equity-based incentive awards to the Company’s executive officers. Each option award was granted with an exercise price of $2.12 per share, the closing price of the Company’s common stock on the Nasdaq Global Market on March 10, 2020, with the option award vesting in 48 equal monthly installments over a four-year period, subject to such executive officer’s continued service on the applicable vesting date. Additionally, on March 10, 2020, the Company issued 111,000 options to purchase the Company’s common stock to other employees of the Company as equity-based incentive awards. Each option award was granted with an exercise price of $2.12 per share, the closing price of the Company’s common stock on the Nasdaq Global Market on March 10, 2020, with the option award vesting in 48 equal monthly installments over a four-year period, subject to such executive officer’s continued service on the applicable vesting date.</w:t>
      </w:r>
    </w:p>
    <w:p>
      <w:pPr>
        <w:spacing w:after="0" w:line="1" w:lineRule="exact"/>
        <w:rPr>
          <w:sz w:val="20"/>
          <w:szCs w:val="20"/>
          <w:color w:val="auto"/>
        </w:rPr>
      </w:pPr>
    </w:p>
    <w:p>
      <w:pPr>
        <w:ind w:right="1000"/>
        <w:spacing w:after="0" w:line="260" w:lineRule="auto"/>
        <w:rPr>
          <w:sz w:val="20"/>
          <w:szCs w:val="20"/>
          <w:color w:val="auto"/>
        </w:rPr>
      </w:pPr>
      <w:r>
        <w:rPr>
          <w:rFonts w:ascii="Arial" w:cs="Arial" w:eastAsia="Arial" w:hAnsi="Arial"/>
          <w:sz w:val="18"/>
          <w:szCs w:val="18"/>
          <w:color w:val="auto"/>
        </w:rPr>
        <w:t>The above awards were in addition to stock option awards issued during the three months ended March 31, 2020 to new employees upon their commencement of employment with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3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3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Total Intrinsic</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Contractual Life</w:t>
            </w:r>
          </w:p>
        </w:tc>
      </w:tr>
      <w:tr>
        <w:trPr>
          <w:trHeight w:val="234"/>
        </w:trPr>
        <w:tc>
          <w:tcPr>
            <w:tcW w:w="384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Number of Shares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 Price</w:t>
            </w:r>
          </w:p>
        </w:tc>
        <w:tc>
          <w:tcPr>
            <w:tcW w:w="160" w:type="dxa"/>
            <w:vAlign w:val="bottom"/>
          </w:tcPr>
          <w:p>
            <w:pPr>
              <w:spacing w:after="0"/>
              <w:rPr>
                <w:sz w:val="20"/>
                <w:szCs w:val="20"/>
                <w:color w:val="auto"/>
              </w:rPr>
            </w:pPr>
          </w:p>
        </w:tc>
        <w:tc>
          <w:tcPr>
            <w:tcW w:w="17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Value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2020</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4,983,000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1,321,000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29"/>
        </w:trPr>
        <w:tc>
          <w:tcPr>
            <w:tcW w:w="3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Cancelled</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March 31, 2020</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6,291,000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3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2"/>
                <w:szCs w:val="22"/>
                <w:color w:val="auto"/>
              </w:rPr>
            </w:pPr>
          </w:p>
        </w:tc>
      </w:tr>
      <w:tr>
        <w:trPr>
          <w:trHeight w:val="197"/>
        </w:trPr>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w:t>
            </w: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1,610,000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r>
      <w:tr>
        <w:trPr>
          <w:trHeight w:val="648"/>
        </w:trPr>
        <w:tc>
          <w:tcPr>
            <w:tcW w:w="38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type w:val="continuous"/>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three months ended March 31, 2020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Pr>
          <w:p>
            <w:pPr>
              <w:spacing w:after="0"/>
              <w:rPr>
                <w:sz w:val="19"/>
                <w:szCs w:val="19"/>
                <w:color w:val="auto"/>
              </w:rPr>
            </w:pPr>
          </w:p>
        </w:tc>
        <w:tc>
          <w:tcPr>
            <w:tcW w:w="4580" w:type="dxa"/>
            <w:vAlign w:val="bottom"/>
            <w:gridSpan w:val="4"/>
          </w:tcPr>
          <w:p>
            <w:pPr>
              <w:ind w:left="2180"/>
              <w:spacing w:after="0"/>
              <w:rPr>
                <w:sz w:val="20"/>
                <w:szCs w:val="20"/>
                <w:color w:val="auto"/>
              </w:rPr>
            </w:pPr>
            <w:r>
              <w:rPr>
                <w:rFonts w:ascii="Arial" w:cs="Arial" w:eastAsia="Arial" w:hAnsi="Arial"/>
                <w:sz w:val="18"/>
                <w:szCs w:val="18"/>
                <w:b w:val="1"/>
                <w:bCs w:val="1"/>
                <w:color w:val="auto"/>
                <w:w w:val="97"/>
              </w:rPr>
              <w:t>For the Three Months Ended</w:t>
            </w:r>
          </w:p>
        </w:tc>
      </w:tr>
      <w:tr>
        <w:trPr>
          <w:trHeight w:val="234"/>
        </w:trPr>
        <w:tc>
          <w:tcPr>
            <w:tcW w:w="44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March 31, 2020</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term (years)</w:t>
            </w:r>
          </w:p>
        </w:tc>
        <w:tc>
          <w:tcPr>
            <w:tcW w:w="2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8400" w:type="dxa"/>
            <w:vAlign w:val="bottom"/>
            <w:gridSpan w:val="3"/>
          </w:tcPr>
          <w:p>
            <w:pPr>
              <w:spacing w:after="0"/>
              <w:rPr>
                <w:sz w:val="20"/>
                <w:szCs w:val="20"/>
                <w:color w:val="auto"/>
              </w:rPr>
            </w:pPr>
            <w:r>
              <w:rPr>
                <w:rFonts w:ascii="Arial" w:cs="Arial" w:eastAsia="Arial" w:hAnsi="Arial"/>
                <w:sz w:val="18"/>
                <w:szCs w:val="18"/>
                <w:color w:val="auto"/>
                <w:w w:val="98"/>
              </w:rPr>
              <w:t>The following table sets forth stock-based compensation expenses recorded during the respective periods: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7"/>
          </w:tcPr>
          <w:p>
            <w:pPr>
              <w:ind w:left="10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54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781,000</w:t>
            </w: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687,000</w:t>
            </w:r>
          </w:p>
        </w:tc>
        <w:tc>
          <w:tcPr>
            <w:tcW w:w="80" w:type="dxa"/>
            <w:vAlign w:val="bottom"/>
          </w:tcPr>
          <w:p>
            <w:pPr>
              <w:spacing w:after="0"/>
              <w:rPr>
                <w:sz w:val="18"/>
                <w:szCs w:val="18"/>
                <w:color w:val="auto"/>
              </w:rPr>
            </w:pPr>
          </w:p>
        </w:tc>
      </w:tr>
      <w:tr>
        <w:trPr>
          <w:trHeight w:val="229"/>
        </w:trPr>
        <w:tc>
          <w:tcPr>
            <w:tcW w:w="5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2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564,000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839,000</w:t>
            </w:r>
          </w:p>
        </w:tc>
        <w:tc>
          <w:tcPr>
            <w:tcW w:w="80" w:type="dxa"/>
            <w:vAlign w:val="bottom"/>
            <w:shd w:val="clear" w:color="auto" w:fill="CCEEFF"/>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29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March 31, 2020, the total stock-based compensation cost related to unvested awards not yet recognized was $15.9 million. The expected weighted average period compensation costs to be recognized was approximately 3.0 years. Future option grants will impact the compensation expense recognized.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related party transaction expenses recorded during the respective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7"/>
          </w:tcPr>
          <w:p>
            <w:pPr>
              <w:ind w:left="10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8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Sponsored Research Agreements with The Baylor College of Medicine (“BCM”)</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16, 2018 and February 1, 2020, in furtherance of the BCM</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Agreement and as contemplated by the terms thereof, the Company entered in Sponsored Research Agreements (“SRAs”) with BCM, which provided for the conduct of research for the Company by credentialed personnel at BCM’s Center for Cell and Gene Therapy.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quarters ended March 31, 2020 and 2019, the Company incurred approximately $35,000 and $7,500, respectively, of expenses to BCM under the two SRAs.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i w:val="1"/>
          <w:iCs w:val="1"/>
          <w:u w:val="single" w:color="auto"/>
          <w:color w:val="auto"/>
        </w:rPr>
        <w:t>Clinical Supply Agreement with BCM</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9, 2019, in furtherance of the BCM License Agreement and as contemplated by the terms thereof,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entered in a Clinical Supply Agreement (“CSA”) with BCM, which provided for BCM to provide to the Company multi tumor antigen specific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2020, the Company incurred approximately $200,000 of expenses to BCM under the CSA.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Consulting Agreement with Dr. Juan Vera</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19, 2018, after the closing of the Company’s merger, the Company entered into a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Dr. Juan Vera, a member of the Company’s board of directors, to serve as the Company’s Chief Development Officer. On September 1, 2019, Dr. Vera became an employee of the Company and his consulting agreement was terminated.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ended March 31, 2019, the Company incurred approximately $81,000 of expenses under Dr. Vera’s consulting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30, 2020, the Company entered into a lease for a research facility in Houston, Texas. The lease term is 71 months. Fixed rent payments under the initial term are approximately $1.1 million. Additionally, the Company is also responsible for its share of operating expenses.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w:t>
      </w:r>
    </w:p>
    <w:p>
      <w:pPr>
        <w:spacing w:after="0" w:line="2" w:lineRule="exact"/>
        <w:rPr>
          <w:sz w:val="20"/>
          <w:szCs w:val="20"/>
          <w:color w:val="auto"/>
        </w:rPr>
      </w:pPr>
    </w:p>
    <w:p>
      <w:pPr>
        <w:ind w:firstLine="8"/>
        <w:spacing w:after="0" w:line="260" w:lineRule="auto"/>
        <w:tabs>
          <w:tab w:leader="none" w:pos="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“Exchange Act” refers to the Securities Exchange Act of 1934, as amended; and (v) all dollar amounts refer to United States dollars unless otherwise indicated.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for the three months ended March 31, 2020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have lower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pursuing post-transplant AML as the lead indication for our first company-sponsored MultiTAA-specific T cell program. The MultiTAA-specific T cell therapy has been well tolerated in an ongoing Phase 1/2 clinical trial conducted by our strategic partner Baylor College of Medicine, or BCM. As reported in March 2019, eleven of the thirteen patients in the adjuvant disease setting dosed with the MultiTAA-specific T cell therapy after receiving an allogeneic stem cell transplant survived, ranging from 6 weeks to 2.5 years post-infusion, with nine of these remaining patients in continuing complete remission, or CCR. Survival of the six patients with active disease ranged from 4 to 21 months, as compared to a historical survival rate of approximately 4.5 months for patients who receive the standard of care post-transplant.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submitted an investigational new drug, or IND, application to the United States Food and Drug Administration, or the FDA to initiate a Phase 2 clinical trial of MultiTAA-specific T cell therapy, which we refer to as MT-401, in post-allogeneic hematopoietic stem cell transplant patients with AML in both the adjuvant and active disease setting, which may become pivotal pending the results of the interim analysis. The dose administered in this multicenter trial is the current maximum tolerated dose from the ongoing Phase 1/2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In February 2020, we announced that the FDA has permitted us to initiate our Phase 2 clinical trial beginning with a safety lead-in portion of the trial. We expect that we will be delayed in initiating this trial per previously communicated timelines due to the COVID-19 pandemic. See “—Clinical Program Updates.” In April 2020, the FDA granted orphan drug designation to MT-401 for the treatment of AML after receiving an allogenic stem cell transplant.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drug-related systemic toxicity or neurotoxicity in this trial.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6" w:name="page17"/>
    <w:bookmarkEnd w:id="16"/>
    <w:p>
      <w:pPr>
        <w:jc w:val="both"/>
        <w:spacing w:after="0" w:line="272" w:lineRule="auto"/>
        <w:rPr>
          <w:sz w:val="20"/>
          <w:szCs w:val="20"/>
          <w:color w:val="auto"/>
        </w:rPr>
      </w:pPr>
      <w:r>
        <w:rPr>
          <w:rFonts w:ascii="Arial" w:cs="Arial" w:eastAsia="Arial" w:hAnsi="Arial"/>
          <w:sz w:val="17"/>
          <w:szCs w:val="17"/>
          <w:color w:val="auto"/>
        </w:rPr>
        <w:t>We are also evaluating the MultiTAA-specific T cell therapies in a Phase 2 clinical trial for the treatment of breast cancer and in Phase 1 clinical trials for the treatment of ALL, lymphoma, MM and sarcoma, all of which are being conducted by BCM. As of December 2019, the MultiTAA-specific T cell therapies have been generally well tolerated by all of the patients enrolled in clinical trials in hematological and solid tumor indications with no incidents of cytokine release syndrome or neurotoxicity, which are frequently associated with CAR-T therapies. Our ongoing clinical trials may be also affected by the COVID-19 pandemic.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addition to our planned Phase 2 trial in post-transplant AML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4483100" cy="18776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8310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MT-401 for the Treatment of Post-Transplant AML</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2020, we announced that the FDA lifted the clinical hold on the Phase 2 clinical trial investigating the safety and efficacy of MT-401 for the treatment of patients with AML post-transplant permitting us to initiate the trial with the safety lead-in portion that is expected to enroll approximately six patients. Three patients will be dosed with MT-401 manufactured using the legacy reagent used in the Phase 1 trial, and three patients will be dosed with MT-401 manufactured using a new reagent from an alternative supplier. We anticipate using this supplier for clinical and commercial manufacturing of MT-401. The FDA placed a partial clinical hold on the trial for the use of the MT-401 product manufactured using one of the reagents supplied by the alternative supplier until the final data and certificate of analysis for the reagent are reviewed and accepted by the FDA. As a result of the COVID-19 pandemic, we may be delayed in our ability to enroll the first three patients in the safety lead-in portion of the trial, but we continue to work to identify clinical trial sites. Further, our alternate supplier has notified us that they will also be delayed in providing the new reagent for MT-401, along with the final data and certificate of analysis required by the FDA to satisfy the requirements for lifting the partial hold. Accordingly, we expect that we will be delayed in initiating the Phase 2 trial per previously communicated timelines.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65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March 31, 2019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20" w:type="dxa"/>
            <w:vAlign w:val="bottom"/>
            <w:gridSpan w:val="9"/>
          </w:tcPr>
          <w:p>
            <w:pPr>
              <w:spacing w:after="0"/>
              <w:rPr>
                <w:sz w:val="20"/>
                <w:szCs w:val="20"/>
                <w:color w:val="auto"/>
              </w:rPr>
            </w:pPr>
            <w:r>
              <w:rPr>
                <w:rFonts w:ascii="Arial" w:cs="Arial" w:eastAsia="Arial" w:hAnsi="Arial"/>
                <w:sz w:val="18"/>
                <w:szCs w:val="18"/>
                <w:color w:val="auto"/>
                <w:w w:val="92"/>
              </w:rPr>
              <w:t>The following table summarizes the results of our operations for the three months ended March 31, 2020 and 2019:</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6"/>
          </w:tcPr>
          <w:p>
            <w:pPr>
              <w:jc w:val="right"/>
              <w:ind w:right="501"/>
              <w:spacing w:after="0"/>
              <w:rPr>
                <w:sz w:val="20"/>
                <w:szCs w:val="20"/>
                <w:color w:val="auto"/>
              </w:rPr>
            </w:pPr>
            <w:r>
              <w:rPr>
                <w:rFonts w:ascii="Arial" w:cs="Arial" w:eastAsia="Arial" w:hAnsi="Arial"/>
                <w:sz w:val="18"/>
                <w:szCs w:val="18"/>
                <w:b w:val="1"/>
                <w:bCs w:val="1"/>
                <w:color w:val="auto"/>
                <w:w w:val="95"/>
              </w:rPr>
              <w:t>For the Three Months Ended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3,817,000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2,833,000</w:t>
            </w:r>
          </w:p>
        </w:tc>
        <w:tc>
          <w:tcPr>
            <w:tcW w:w="28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Arial" w:cs="Arial" w:eastAsia="Arial" w:hAnsi="Arial"/>
                <w:sz w:val="18"/>
                <w:szCs w:val="18"/>
                <w:color w:val="auto"/>
              </w:rPr>
              <w:t>984,000</w:t>
            </w:r>
          </w:p>
        </w:tc>
        <w:tc>
          <w:tcPr>
            <w:tcW w:w="5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2,827,000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2,806,000</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21,000</w:t>
            </w:r>
          </w:p>
        </w:tc>
        <w:tc>
          <w:tcPr>
            <w:tcW w:w="5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6,644,000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5,638,000</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1,006,000</w:t>
            </w:r>
          </w:p>
        </w:tc>
        <w:tc>
          <w:tcPr>
            <w:tcW w:w="3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(5,638,000)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(1,006,000)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 in fair value of warrant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(9,000)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40,000</w:t>
            </w:r>
          </w:p>
        </w:tc>
        <w:tc>
          <w:tcPr>
            <w:tcW w:w="5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color w:val="auto"/>
              </w:rPr>
              <w:t>127,000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329,000</w:t>
            </w:r>
          </w:p>
        </w:tc>
        <w:tc>
          <w:tcPr>
            <w:tcW w:w="28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(202,000)</w:t>
            </w:r>
          </w:p>
        </w:tc>
        <w:tc>
          <w:tcPr>
            <w:tcW w:w="5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(6,486,000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(5,319,000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(1,168,000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(0.02)</w:t>
            </w:r>
          </w:p>
        </w:tc>
        <w:tc>
          <w:tcPr>
            <w:tcW w:w="5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46,084,000</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7"/>
              </w:rPr>
              <w:t>45,466,000</w:t>
            </w:r>
          </w:p>
        </w:tc>
        <w:tc>
          <w:tcPr>
            <w:tcW w:w="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618,000</w:t>
            </w:r>
          </w:p>
        </w:tc>
        <w:tc>
          <w:tcPr>
            <w:tcW w:w="3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March 31, 2020 were $6.6 million compared to $5.6 million during the three months ended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increased by 35% to $3.8 million for the three months ended March 31, 2020, compared to $2.8 million for the three months ended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$1.0 million in 2020 was primarily attributable to the following:</w:t>
      </w:r>
    </w:p>
    <w:p>
      <w:pPr>
        <w:spacing w:after="0" w:line="225"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$0.8 million in headcount-related expenses as we increased the number of research and development personnel,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$0.2 million in clinical consulting and professional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$0.1 million in research and development stock-based compensation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$0.7 million in process development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 of $0.2 million in other expenses, and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 of $0.6 million in our peptide vaccine clinical trial expenses due to the stages of ongoing clinical trials and the decreased number of active patients in such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 of $0.1 million in general and administrative stock-based compensation expenses,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of $0.2 million in legal and professional fees,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 of $0.1 million in office-related expenses, insurance and other general and administrative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for the three months ended March 31, 2020 was $31,000 as compared to ($9,000) for the three months ended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was $0.1 million and $0.3 million for the three months ended March 31, 2020 and 2019, respectively, and was attributable to interest income relating to funds that are held in U.S. Treasury notes and U.S. government agency-backed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a net loss of $6.5 million, or a net loss per share, basic and diluted of ($0.14), during the three months ended March 31, 2020, compared to a net loss of $5.3 million, or a net loss per share, basic and diluted of ($0.12), during the three months ended March 31, 2019. The increase in our net loss during the three months ended March 31, 2020 compared to during the three months ended March 31, 2019 was due to the continued expansion of our research and development activities, increased expenses relating to current and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from product sales since inception. We have financed our operations primarily through public and private offerings of our debt and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working capital as of March 31, 2020 and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560" w:type="dxa"/>
            <w:vAlign w:val="bottom"/>
            <w:tcBorders>
              <w:bottom w:val="single" w:sz="8" w:color="CCEEFF"/>
            </w:tcBorders>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40,255,000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43,904,000</w:t>
            </w:r>
          </w:p>
        </w:tc>
        <w:tc>
          <w:tcPr>
            <w:tcW w:w="100" w:type="dxa"/>
            <w:vAlign w:val="bottom"/>
            <w:shd w:val="clear" w:color="auto" w:fill="CCEEFF"/>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Working capital</w:t>
            </w:r>
          </w:p>
        </w:tc>
        <w:tc>
          <w:tcPr>
            <w:tcW w:w="2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38,831,000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43,494,000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5"/>
          </w:tcPr>
          <w:p>
            <w:pPr>
              <w:ind w:left="28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4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21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1"/>
              <w:spacing w:after="0"/>
              <w:rPr>
                <w:sz w:val="20"/>
                <w:szCs w:val="20"/>
                <w:color w:val="auto"/>
              </w:rPr>
            </w:pPr>
            <w:r>
              <w:rPr>
                <w:rFonts w:ascii="Arial" w:cs="Arial" w:eastAsia="Arial" w:hAnsi="Arial"/>
                <w:sz w:val="18"/>
                <w:szCs w:val="18"/>
                <w:color w:val="auto"/>
              </w:rPr>
              <w:t>(4,099,000)</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(3,880,000)</w:t>
            </w:r>
          </w:p>
        </w:tc>
      </w:tr>
      <w:tr>
        <w:trPr>
          <w:trHeight w:val="216"/>
        </w:trPr>
        <w:tc>
          <w:tcPr>
            <w:tcW w:w="4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(100,000)</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(223,000)</w:t>
            </w:r>
          </w:p>
        </w:tc>
      </w:tr>
      <w:tr>
        <w:trPr>
          <w:trHeight w:val="230"/>
        </w:trPr>
        <w:tc>
          <w:tcPr>
            <w:tcW w:w="474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221"/>
              <w:spacing w:after="0"/>
              <w:rPr>
                <w:sz w:val="20"/>
                <w:szCs w:val="20"/>
                <w:color w:val="auto"/>
              </w:rPr>
            </w:pPr>
            <w:r>
              <w:rPr>
                <w:rFonts w:ascii="Arial" w:cs="Arial" w:eastAsia="Arial" w:hAnsi="Arial"/>
                <w:sz w:val="18"/>
                <w:szCs w:val="18"/>
                <w:color w:val="auto"/>
              </w:rPr>
              <w:t>550,000</w:t>
            </w:r>
          </w:p>
        </w:tc>
        <w:tc>
          <w:tcPr>
            <w:tcW w:w="440" w:type="dxa"/>
            <w:vAlign w:val="bottom"/>
          </w:tcPr>
          <w:p>
            <w:pPr>
              <w:spacing w:after="0"/>
              <w:rPr>
                <w:sz w:val="19"/>
                <w:szCs w:val="19"/>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8"/>
                <w:szCs w:val="18"/>
                <w:color w:val="auto"/>
              </w:rPr>
              <w:t>63,000</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(3,649,000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during the three months ended March 31, 2020 was $4.1 million. The use of cash primarily related to our net loss of $6.5 million, in addition to the effect of changes in asset and liability accounts, including an increase in prepaid expenses and deposits of $0.2 million, an increase in accounts payable and accrued liabilities of $1.2 million, a decrease in interest receivable of $32,000 and a decrease in lease liabilities of $49,000.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311" w:lineRule="auto"/>
        <w:rPr>
          <w:sz w:val="20"/>
          <w:szCs w:val="20"/>
          <w:color w:val="auto"/>
        </w:rPr>
      </w:pPr>
      <w:r>
        <w:rPr>
          <w:rFonts w:ascii="Arial" w:cs="Arial" w:eastAsia="Arial" w:hAnsi="Arial"/>
          <w:sz w:val="16"/>
          <w:szCs w:val="16"/>
          <w:color w:val="auto"/>
        </w:rPr>
        <w:t>Net cash used in operating activities during the three months ended March 31, 2019 was $3.9 million. The use of cash primarily related to our net loss of $5.3 million, in addition to the effect of changes in asset and liability accounts, including an increase in prepaid expenses and deposits of $75,000, a decrease in accounts payable and accrued liabilities of $61,000, a decrease in lease liabilities of $45,000 and an increase in interest receivable of $4,000.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$0.1 million and $0.2 million for the purchase of property and equipment during the three months ended March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financing activities was $550,000 during the three months ended March 31, 2020, due to the exercise of stock warrants. Net cash provided by financing activities was $63,000 during the three months ended March 31, 2019, due to the exercise of stock warrants and stock options.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2020, we had working capital of $38.8 million, compared to working capital of $43.5 million as of December 31, 2019. Based on our revised clinical and research and development plans and our revised timing expectations related to the progress of our programs, and buildout of manufacturing and research facilities, and expansion of our corporate headquarters, we expect that our cash and cash equivalents as of March 31, 2020 will enable us to fund our operating expenses and capital expenditure requirements into the latter half of the second quarter of 2021.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8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candidates;seek regulatory approvals for our product candidates if they successfully complete clinical trials;</w:t>
      </w:r>
    </w:p>
    <w:p>
      <w:pPr>
        <w:ind w:left="660" w:hanging="652"/>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660" w:right="20" w:hanging="652"/>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t>During fiscal 2020, we have entered into agreements to buildout a manufacturing facility, to lease a research lab and to expand our corporate headquarters in Houston, Texas. A summary of these future capital requirements is below:</w:t>
      </w:r>
    </w:p>
    <w:p>
      <w:pPr>
        <w:spacing w:after="0" w:line="170" w:lineRule="exact"/>
        <w:rPr>
          <w:sz w:val="20"/>
          <w:szCs w:val="20"/>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23, 2020, we entered into an agreement to expand our corporate headquarters in Houston, Texas, which is expected to commence in the third quarter of 2020. The initial lease term is ten years with two five-year renewal options. Fixed rent payments under the initial term are approximately $5.6 million. Additionally, we are also responsible for our share of operating expenses.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26, 2020 we entered into an agreement with a vendor to design, engineer, build and eventually install modular cleanrooms in a manufacturing facility, which we expect to lease with a commencement date in the second or third quarter of 2020. The total fees for this project to be substantially completed by December 31, 2020 are estimated to be $6.0 million.</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30, 2020, we entered into a lease for a manufacturing facility in Houston, Texas. The lease is contingent upon the landlord’s successful acquisition of the property and is expected to commence in the second or third quarter of 2020. The initial lease term is ten years with two five-year renewal options. Fixed rent payments under the initial term are approximately $11.1 million. Additionally, we are also responsible for our share of operating expenses.</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April 30, 2020, we entered into a lease for a research facility in Houston, Texas. The lease term is 71 months. Fixed rent payments under the initial term are approximately $1.1 million. Additionally, we are also responsible for our share of operating expenses.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foregoing, based on our current assessment, we do not expect any material impact on our long-term liquidity due to the COVID-19 pandemic. However, we will continue to assess the effect of the pandemic on our operations. The extent to which the COVID-19 pandemic will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Aspire Common Stock Purchase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2020, we entered into a common stock purchase agreement, or the Purchase Agreement, with Aspire Capital Fund, LLC, or Aspire Capital, which provides that, upon the terms and subject to the conditions and limitations set forth therein, Aspire Capital is committed to purchase up to an aggregate of $30.0 million of shares of our common stock over the 30-month term of the Purchase Agreement. As of March 31, 2020, Aspire Capital had not purchased any shares under the Purchase Agreement.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consideration for entering into the Purchase Agreement, concurrently with the execution of the Purchase Agreement, we issued to Aspire Capital 345,357 shares of our common stock, or the Commitment Shares. Under the Purchase Agreement, on any trading day selected by the Company, the Company has the right, in its sole discretion, to present Aspire Capital with a Purchase Notice directing Aspire Capital (as principal) to purchase up to 100,000 shares of our common stock per business day, up to $30.0 million of our common stock in the aggregate at a Purchase Price equal to the lesser of:</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lowest sale price of our common stock on the purchase date; or</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arithmetic average of the three lowest closing sale prices for our common stock during the ten consecutive trading days ending on the trading day immediately preceding the purchase date.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on any date on which we submit a Purchase Notice to Aspire Capital in an amount equal to at least 100,000 shares, we also have the right, in our sole discretion, to present Aspire Capital with a volume-weighted average price purchase notice, or a VWAP Purchase Notice, directing Aspire Capital to purchase an amount of stock equal to up to 30% of the aggregate shares of our common stock traded on its principal market on the next trading day, which we refer to as the VWAP Purchase Date, subject to a maximum number of shares we may determine. The purchase price per share pursuant to such VWAP Purchase Notice is generally 97% of the volume-weighted average price for our common stock traded on its principal market on the VWAP. We may deliver multiple Purchase Notices and VWAP Purchase Notices to Aspire Capital from time to time during the term of the Purchase Agreement, so long as the most recent purchase has been completed.</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Purchase Agreement provides that we and Aspire Capital shall not effect any sales under the Purchase Agreement on any purchase date where the closing sale price of our common stock is less than $0.25. There are no trading volume requirements or restrictions under the Purchase Agreement, and we will control the timing and amount of sales of our common stock to Aspire Capital. Aspire Capital has no right to require any sales by us but is obligated to make purchases from us as directed by us on future fundings, rights of first refusal, participation rights, penalties or liquidated damages in the Purchase Agreement. The Purchase Agreement may be terminated by us at any time, at its discretion, without any cost to us. Aspire Capital has agreed that neither it nor any of its agents, representatives and affiliates shall engage in any direct or indirect short-selling or hedging of our common stock during any time prior</w:t>
      </w:r>
    </w:p>
    <w:p>
      <w:pPr>
        <w:sectPr>
          <w:pgSz w:w="11900" w:h="16838" w:orient="portrait"/>
          <w:cols w:equalWidth="0" w:num="1">
            <w:col w:w="11240"/>
          </w:cols>
          <w:pgMar w:left="320" w:top="908" w:right="339" w:bottom="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to the termination of the Purchase Agreement. We expect to use any proceeds under the Purchase Agreement for working capital and general corporate purposes.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The Purchase Agreement provides that the number of shares that may be sold pursuant to the Purchase Agreement will be limited to 9,232,814 shares, including the Commitment Shares, or the Exchange Cap, which represents 19.99% of our outstanding shares of common stock as of the date of the Purchase Agreement,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price of our shares on The Nasdaq Global Market immediately preceding the execution of the Purchase Agreement. We are not required or permitted to issue any shares of common stock under the Purchase Agreement if such issuance would breach our obligations under the rules or regulations of The Nasdaq Global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three months ended March 31, 2020 that have materially affected, or are reasonably likely to materially affect, our internal control over financial reporting.</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we were not a party to any legal proceedings that, in the opinion of management, are likely to have a material adverse effect on our business.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likely to be adversely affected by the evolving and ongoing COVID-19 global pandemic.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and operations are likely to be adversely affected by the effects of the recent and evolving COVID-19 virus, which was declared by the World Health Organization as a global pandemic. The COVID-19 pandemic has resulted in travel and other restrictions in order to reduce the spread of the disease, including state and local orders across the United States that, among other things, direct individuals to shelter at their places of residence, direct businesses and governmental agencies to cease non-essential operations at physical locations, prohibit certain non-essential gatherings and events and order cessation of non-essential travel. In response to public health directives and orders, we have implemented work-from-home policies for all employees, including at our headquarters in Houston, Texas, which is currently subject to an order that requires all non-essential businesses to cease in-person operations.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Remote work policies, quarantines, shelter-in-place and similar government orders, shutdowns or other restrictions on the conduct of business operations related to the COVID-19 pandemic may negatively impact productivity and, to date, have disrupted our ongoing research and development activities and delayed certain of our clinical programs and timelines, the magnitude of which will depend, in part, on the length and severity of the restrictions and other limitations on our ability to conduct our business in the ordinary course. In addition, although our employees are accustomed to working remotely, changes in internal controls due to remote work arrangements may result in control deficiencies in the preparation of our financial reports, which could be material.</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we expect that we will be delayed in initiating our Phase 2 trial of MT-401 for post-transplant AML per previously communicated timelines due to delays in our ability to enroll the first three patients in the safety lead-in portion of the trial because of the COVID-19 pandemic and delays in receiving the new reagent for MT-401 and the final data and certificate of analysis required by the FDA to satisfy the requirements for lifting the partial hold. Our ongoing clinical trials may be also affected by the COVID-19 pandemic. Patient enrollment and clinical site initiation may be delayed due to prioritization of hospital resources toward the COVID-19 pandemic.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COVID-19, which would adversely impact clinical trial operations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global pandemic of COVID-19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Form 10-Q,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financing.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sustained losses from operations in each fiscal year since our inception, and we expect losses to continue for the indefinite future due to the substantial investment in research and development. As of March 31, 2020, we had an accumulated deficit of $334.0 million since inception.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is highly dependent upon our key personnel, and our ability to attract, retain, and motivate additional qualified personnel.</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Peter Hoang, our President and Chief Executive Officer, Juan Vera, M.D., our Chief Development and Scientific Officer, and Mythili Koneru, M.D., Ph.D. our Chief Medical Officer as well as others. The loss of the services of any of our executive officers,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strategic relationship with Baylor College of Medicine, or BCM, is dependent, in part, upon our relationship with key medical and scientific personnel and advisors.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MultiTAA-specific T cell therapy has been developed through our collaboration with the Center for Cell and Gene Therapy at BCM, founded by Malcolm K. Brenner, M.D., Ph.D., a recognized pioneer in immuno-oncology. In addition to Dr. Brenner, our founders include Juan Vera, M.D., Ann Leen, Ph.D., Helen Heslop, M.D., DSc (Hon) and Cliona Rooney, Ph.D., who all have significant experience in this field and are all affiliated with the Center for Cell and Gene Therapy at BCM. Dr. Vera is our Chief Development Officer. In addition, Dr. Brenner, Dr. Heslop and Dr. Rooney have joined our Scientific Advisory Board.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strategic relationship with BCM is dependent, in part, on our relationship with these key employees and advisors, and in particular Dr. Vera. If Dr. Vera discontinues his employment with us, our relationship with BCM may deteriorate, and our business could be harmed.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certain of our key medical and scientific personnel, will need additional agreements in place with BCM to expand our development, manufacture, and clinical trial efforts.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have an exclusive license agreement with BCM under which we received a worldwide, exclusive license to BCM’s rights in and to three patent families to develop and commercialize the MultiTAA-specific T cell product candidates, we will need to enter into additional agreements with BCM with respect to (i) a strategic alliance to advance pre-clinical research, early stage clinical trials, and Phase 2 clinical trials with respect to our product candidates, as well as continued access to our clinical data, and (ii) product manufacturing and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multiple roles of certain of Dr. Vera, our Chief Development and Scientific Officer, and John Wilson, our director, could limit their time and availability to us, and create, or appear to create, conflicts of interest.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Vera is a co-founder and member of Allovir Inc., or Allovir. Allovir is owned by the same principal stockholder group as us prior to our merger with TapImmune, Inc. and has technology which is being developed under a license agreement with BCM by the same research group at BCM. Allovir is a clinical-stage biopharmaceutical company that is investigating and developing virus-specific T cell therapy technology for the prevention and/or treatment of viral infections. Accordingly, Dr. Vera may have other commitments that would, at times, limit his availability to us. Other research being conducted by Dr. Vera may, at times, receive higher priority than research on our programs, which may, in turn, delay the development or commercialization of our product candidates.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John Wilson is a co-founder, member and director of Allovir and is a director of our company. Both of these individuals have certain fiduciary or other obligations to us and certain fiduciary or other obligations to Allovir and, in the case of Dr. Vera to BCM. Such multiple obligations may in the future result in a conflict of interest with respect to presenting other potential business opportunities to us or to Allovir. A conflict of interest also may arise concerning the timing and scope of the parties’ planned and ongoing clinical trials, investigational new drug application filings and the parties’ opportunities for marketing their respective product candidates, as well as our intellectual property rights with those of Allovir. In addition, they may be faced with decisions that could have different implications for us than for Allovir. Consequently, there is no assurance that these members of our board and management will always act in our best interests in all situations should a conflict arise.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any product candidates.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operations through debt and equity financings.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and clinical trials may not be predictive of future clinical trial results.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testing is expensive and generally takes many years to complete, and the outcome is inherently uncertain. 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at BCM and may prove to be incorrect. In addition, the initial estimates of the clinical cost of development may prove to be inadequate, particularly if clinical trial timing or outcome is different than predicted or regulatory agencies require further testing before approval. For example, we anticipate that the COVID-19 pandemic will delay our planned timelines for our Phase 2 trial of MT-401 for the treatment of post-transplant AML, which may impact our estimates of costs for this trial.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The COVID-19 pandemic is also likely to cause disruptions to our clinical programs. For example, we expect that we will be delayed in initiating our Phase 2 trial of MT-401 for post-transplant AML per previously communicated timelines. The COVID-19 pandemic may also result in difficulties in initiating clinical sites and enrolling patients, the diversion of healthcare resources away from clinical trials and other challenges related to travel or quarantine policies that may impede patient movement or interrupt healthcare services.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 party vendors that are used in our manufacturing process but not present in the final product infused to patients. In February 2020, the FDA lifted the clinical hold, permitting us to initiate a Phase 2 clinical trial with a safety lead-in portion but placed a partial clinical hold on the trial for the use of MT-401 manufactured using one of the reagents supplied by our alternative supplier. Our alternate supplier has notified us that they will be delayed in providing the new reagent for MT-401, along with the final data and certificate of analysis required by the FDA to satisfy the requirements for lifting the partial hold, which will delay our ability to initiate the trial per previously communicated timelines. The FDA may not agree that our response addresses all of their concerns and the partial clinical hold may remain in place and further delay the initiation of the trial. In addition, our ability to successfully work with our reagent supplier may be limited or further delayed due to the effects of the COVID-19 pandemic.</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BLA preparation, discussions with the FDA, an FDA request for additional preclinical or clinical data, or unexpected safety or manufacturing issues;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the immunotherapy uneconomical; and</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the immunotherapy from being commercialized.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trials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or cGMPs, and current Good Clinical Practices or cGCPs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budgeting and planning purposes, we have projected the dates for the commencement, continuation, and completion of our various clinical trials. However, a number of factors, including scheduling conflicts with participating clinicians and clinical institutions, difficulties in identifying and enrolling patients who meet trial eligibility criteria, and competition for such eligible patents from other clinical trials, may cause significant delays. We may not commence or complete clinical trials involving any of our product candidates as projected or may not conduct them successfully.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we will be delayed in initiating our planned Phase 2 trial of MT-401 for post-transplant AML due to the COVID-19 pandemic. As previously announced, the FDA placed a partial clinical hold for the use of MT-401 manufactured using one of the reagents supplied by our alternative supplier. Our alternate supplier has notified us that they will be delayed in providing the new reagent for MT-401, along with the final data and certificate of analysis required by the FDA to satisfy the requirements for lifting the partial hold. We cannot guarantee when, or if, we will be successful in these efforts. Further, as a result of the COVID-19 pandemic, we will be delayed in our ability to enroll the first three patients in the safety lead-in portion of the trial required by the FDA. The pandemic may also impact our other clinical programs.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medical institutions, academic institutions, and clinical research organizations to conduct, supervise, or monitor some or all aspects of clinical trials involving our product candidates. We may have less control over the timing and other aspects of these clinical trials than if we conducted them entirely on our own. If we fail to commence or complete, or experiences delays in, any of our planned clinical trials, we may experience delays in our clinical development and/or commercialization plans.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In particular, while BCM will continue to support our trials with production of MultiTAA-specific T cells under contract, we anticipate that we will have to rely on contract manufacturing organizations or CMOs or internal facilities yet to be developed for the commercial manufacture of our multi-antigen specific T cell therapy product candidates for clinical trials and eventual licensure. If they fail to commence or complete, or experience delays in, manufacturing our multi-antigen specific T cell therapy product candidates, our planned clinical trials with respect to such product candidates will be delayed, and we may experience delays in our clinical development and/or commercialization plans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Clinical trials are expensive and difficult to design and implement, in part because they are subject to rigorous regulatory requirements. Because our product candidates are based on new technologies and manufactured on a patient-by-patient basis for our MultiTAA-specific T cell product candidates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the COVID-19 pandemic may also increase the duration and costs of such trials.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any approved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The results of studies in one set of patients or line of treatment may not be predictive of those obtained in another. In addition, we expect that there may be greater variability in results for products processed and administered on a patient-by-patient basis, as anticipated for our MultiTAA-specific T cell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trials could reveal a high and unacceptable severity and prevalence of side effects or unexpected characteristics.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unacceptable toxicities arise in the development of our product candidates, we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personalized cell therapy, as with our MultiTAA-specific T cell therapy products, are not normally encountered in the general patient population and by medical personnel. Any of these occurrences may harm our business, financial condition and prospects significantly.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MultiTAA-specific T cell therapy research and development efforts are to a large extent dependent upon BCM’s investigators and laboratories.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will take time to fully develop our research and development infrastructure. While we are conducting some research and development activities internally, we currently depend upon and will continue to depend upon independent investigators and collaborators, such as BCM, and which in the future may include other universities, medical institutions, and strategic partners, to conduct our preclinical studies and clinical trials. If we need to enter into alternative arrangements, our product development activities would be delayed. Agreements with such third parties might terminate for a variety of reasons, including a failure to perform by the third parties.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use the results of BCM’s research to support the filing with the FDA of IND applications to conduct more advanced clinical trials of our product candidates. However, we have limited control over the nature or timing of BCM’s clinical trials and limited visibility into their day-to-day activities. The research we are funding constitutes only a small portion of BCM’s overall research. Other research being conducted by Dr. Ann Leen and Dr. Juan Vera may at times receive higher priority than research on our programs. These factors could adversely affect the timing of our IND filings and our ability to conduct future planned clinical trials.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conduct all research and development activities at BCM laboratories. Due to the COVID-19 pandemic, BCM has restricted access to its facilities, and we are unable to conduct laboratory work, including activities required to initiate the safety lead-in portion of our Phase 2 trial of MT-401. We are in the process of establishing in-house laboratories.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unable to seek regulatory approval of or commercialize our products if our trials are not successful.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4"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after reviewing trial results, we or our collaborators may abandon product candidates that we might previously have believed to be promising;</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our potential product candidates have may not be the desired effects or may include undesirable side effects or other characteristics that preclude regulatory approval or limit their commercial use if approved.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right="20"/>
        <w:spacing w:after="0" w:line="263" w:lineRule="auto"/>
        <w:rPr>
          <w:sz w:val="20"/>
          <w:szCs w:val="20"/>
          <w:color w:val="auto"/>
        </w:rPr>
      </w:pPr>
      <w:r>
        <w:rPr>
          <w:rFonts w:ascii="Arial" w:cs="Arial" w:eastAsia="Arial" w:hAnsi="Arial"/>
          <w:sz w:val="18"/>
          <w:szCs w:val="18"/>
          <w:color w:val="auto"/>
        </w:rPr>
        <w:t>Further, we expect that the COVID-19 pandemic will delay our ability to initiate our planned Phase 2 trial of MT-401 for post-transplant AML and may impact our other clinical programs due to delays and difficulties in clinical site initiation and patient enrollment and potential diversion of healthcare resources and other interruptions in clinical trial activities.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Clinical testing is very expensive, can take many years, and the outcome is uncertain. For example, it can take as much as 12 months or more before we learn the results from any clinical trial using our MultiTAA-specific T cell therapy. The data collected from our clinical trials may not be sufficient to support approval by the FDA of our MultiTAA-specific T cell therapy-based product candidates for the treatment of hematological malignancies. The clinical trials for our product candidates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 candidates, which would prevent us from generating revenues or achieving profitability.</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not be able to expand our manufacturing processes to other third-party manufacturing facilities or successfully create our own manufacturing infrastructure for supply of our requirements of product candidates for use in clinical trials and for commercial sale.</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own any facility that may be used as our clinical-scale manufacturing and processing facility. We currently rely on third-party Contract Manufacturing Organizations, or CMOs, for manufacture of our vaccine product candidates. For 2020, we anticipate that we will initially rely solely on the cGMP manufacturing facility within BCM for the manufacturing of our MultiTAA-specific T cell therapy-based product candidates. BCM has currently restricted access to its facilities due to the COVID-19 pandemic, and we are currently unable to conduct any manufacturing activities for MT-401. If the cGMP manufacturing facility of BCM, which does manufacture for itself and other parties, experiences capacity constraints, other disruptions, or delays in manufacturing our MultiTAA-specific T cell therapy-based product candidates, our planned clinical trials and necessary manufacturing capabilities will be disrupted or delayed, which will adversely affect our ability to conduct and further develop our business as currently planned. Further, the cGMP manufacturing facility is most likely too small to conduct the pivotal clinical studies being planned by us, so we will need to develop our own cGMP manufacturing capacity that will be adequate for such clinical trials with respect to our MultiTAA-specific T cell therapy-based product candidates.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2020, we intend to begin developing additional cGMP manufacturing capacity of our own that would be capable of supporting our manufacturing needs with respect to our clinical trials, particularly with respect to pivotal studies. We intend to begin a process technology transfer to develop in-house manufacturing capabilities in 2021. Establishment of our own manufacturing facility is subject to many risks. For example, the establishment of a cell-therapy manufacturing facility is a complex endeavor requiring knowledgeable individuals. Creating an internal manufacturing infrastructure will rely upon building out a complex facility and finding personnel with an appropriate background and training to staff and operate the facility. Should we be unable to find these individuals, we may need to rely on external contractors or train additional personnel to fill needed roles. There are a small number of individuals with experience in cell therapy, and the competition for these individuals is high.</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that the development of our own manufacturing facility will provide us with enhanced control of material supply for both clinical trials and the commercial market, enable the more rapid implementation of process changes, and allow for better long-term margins. However, we do not have extensive experience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transportation difficulties and numerous other factors that could prevent us from realizing the intended benefits of our manufacturing strategy and have a material adverse effect on our clinical development and/or commercialization plans.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manufacturing process for any product candidates that we may develop is subject to the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Whether we engage additional CMOs to manufacture our product candidates or establish our own manufacturing facility, in order to transfer our MultiTAA-specific T cell manufacturing from or expand our manufacturing capabilities beyond BCM pursuant to our development plans, we will need access to the standard operating procedures and the specific batch production records that are used to manufacture the product candidates. If BCM does not support the transfer of our manufacturing processes or impedes our ability to transfer the manufacturing processes of its product candidates to us, our planned clinical trials and additional necessary manufacturing capabilities will be delayed, which will adversely affect our ability to conduct and further develop our business as currently planned.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We will be dependent on third-party vendors to design, build, maintain and support our manufacturing and cell processing facilities.</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of our strategy to outsource our manufacturing, we will rely very heavily on BCM and other third-party manufacturers to perform the manufacturing of our product candidates for our clinical trials. We license our technology from others. We intend to rely on our contract manufacturers to produce large quantities of materials needed for clinical trials and potential product commercialization. Third-party manufacturers may not be able to meet our needs concerning timing, quantity, or quality.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 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continue to enter into additional third-party agreements in the future. However, we may not be able to negotiate any additional agreements successfully. Even if established, these relationships may not be scientifically or commercially successful.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manufacturing process is reliant upon the specialized equipment, and other specialty materials, which may not be available to us on acceptable terms or at all. For some of this equipment and materials, we rely or may rely on sole-source vendors or a limited number of vendors, which could impair our ability to manufacture and supply our product candidates.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depend on a limited number of vendors for supply of certain materials and equipment used in the manufacture of our MultiTAA-specific T cell therapy-based product candidates. For example, we will purchase equipment and reagents critical for the manufacture of our product candidates from Wilson Wolf (a company controlled by our director John Wilson), JPT Peptide Technologies and other suppliers. Some of our suppliers may not have the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 For example, the FDA has requested additional data from us regarding the new reagent we intend to use to manufacture MT-401 before we can proceed with the remainder of our planned Phase 2 trial of MT-401 for the treatment of post-transplant AML.</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continue to develop and scale our manufacturing process, we may need to obtain rights to and supplies of specific materials and equipment to be used as part of that process. For example, our MultiTAA-specific T cell manufacturing process is based, in part, upon the G-Rex® cell culture device manufactured by Wilson Wolf, which is used by many cell therapy developers, both in commercial and academic settings. Although we do hold the license to patents from BCM that could be used to prevent third parties from developing similar and competing processes, we do not own any exclusive rights to the G-Rex®. We may not be able to obtain rights to such materials and equipment on commercially reasonable terms, or at all, and if we are unable to alter our process in a commercially viable manner to avoid the use of such materials or find a suitable substitute, it would have a material adverse effect on our business.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 up of our manufacturing capabilities. If we, or any of our third-party manufacturers encounter such difficulties, our ability to supply our product candidates for clinical trials, or our product candidates for patients, if approved, could be delayed or stopped, or we may be unable to maintain a commercially viable cost structure.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product candidates are biologics, and the process of manufacturing our product candidates is complex, highly regulated and subject to multiple risks. For example, the manufacture of our MultiTAA-specific 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our MultiTAA-specific T cell therapy-based product candidates are manufactured for each particular patient, we will be required to maintain a chain of identity with respect to the patient’s/donor’s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Currently, our product candidates are manufactured using processes developed by BCM, our third-party research institution collaborator. Although we are working to develop our own commercially viable processes,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 assurance can be given that we will be able to develop a new, FDA-compliant, more efficient, lower cost manufacturing process upon which our business plan to commercialize MultiTAA-based product candidates is dependent.</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cooperation with our current contract manufacturers, we intend to develop improved methods for generating and selecting T cells, and to develop methods for large-scale production of our current product candidates that are in accordance with current cGMP procedures. Developing a new, scaled-up, pharmaceutical manufacturing process that can more efficiently and cost effectively, and in a more automated manner produce, measure and control the physical and/or chemical attributes of our product candidates in a cGMP facility is subject to many uncertainties and difficulties. We have never manufactured our adoptive T cell therapy product candidate on a commercial scale. As a result, we cannot give any assurance that we will be able to establish a manufacturing process that can produce our product candidates at a cost or in quantities necessary to make them commercially viable. Moreover, we and our third-party manufacturers will have to continually adhere to current cGMP regulations enforced by the FDA through its facilities inspection program. If these facilities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will be able to develop such manufacturing process, or that our partners will thereafter be able to establish and operate such a production facility.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MultiTAA-based product candidates from existing products may require us to perform additional testing, which will increase the cost, and extend the time for obtaining approval.</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MultiTAA-specific T cell therapy platform is based on the adoptive T cell therapy technology that we licensed from BCM and that is presently available as a physician-sponsored investigational therapy at BCM for the treatment of lymphoma, AML/MDS, multiple myeloma and select solid tumors in the United States. The current method of treatment is labor intensive and expensive. We are performing process optimization that we anticipate will enable more efficient manufacturing of our product candidates. We may have difficulty demonstrating that the product candidates produced from our new processes are identical to the existing products. The FDA may require additional clinical testing before permitting a larger clinical trial with the new processes, and such drug substance may not be as efficacious in the new clinical trials. 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 candidates successfully or on a timely basis.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disease indication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Immunotherapies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BLA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 candidates could result either in such product candidates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 candidates,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2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our use outside the approved indications should physicians choose to prescribe for such uses;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and government authorities;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that are necessary to develop or potentially commercialize some or all of our product candidates.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with the USPTO.</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If we, our licensing partners, or any potential future collaborator initiates legal proceedings against a third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licensors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multi-antigen specific T cell product candidates, or our other product candidates, will be considered patentable by the USPTO, courts in the United States or by the patent offices and courts in foreign countries, nor can we be certain that the claims in our issued European patent will not be found invalid or unenforceable if challenged.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intellectual property rights are currently licensed from BCM and the Mayo Foundation,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left="9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one of our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which may be brought in foreign jurisdictions to challenge the validity of a patent. A third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Our potential competitors or other entities may have or acquire patent or proprietary rights that they could enforce against our licensors.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If they do so, then they could limit our ability to make, use, sell, offer for sale or import our product candidates and products that may be approved in the future, or impair our competitive position by requiring us to alter our product candidates, pay licensing fees or cease activities.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Arial" w:cs="Arial" w:eastAsia="Arial" w:hAnsi="Arial"/>
          <w:sz w:val="16"/>
          <w:szCs w:val="16"/>
          <w:i w:val="1"/>
          <w:iCs w:val="1"/>
          <w:color w:val="auto"/>
        </w:rPr>
        <w:t>inter-partes</w:t>
      </w:r>
      <w:r>
        <w:rPr>
          <w:rFonts w:ascii="Arial" w:cs="Arial" w:eastAsia="Arial" w:hAnsi="Arial"/>
          <w:sz w:val="16"/>
          <w:szCs w:val="16"/>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any obligations under our existing license agreements or any future license agreements, or disputes arise with respect to those agreements, it could have a negative impact on our business and our intellectual property rights.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license agreements with BCM and the Mayo Foundation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p>
      <w:pPr>
        <w:spacing w:after="0" w:line="17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alone or with our licensors and collaborators;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rights upon termination of such agreement;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world-wide exclusive licenses from the Mayo Foundation on (i) a novel set of Class II HER2/neu peptide antigens, (ii) a novel Class I HER2/neu antigen, and (iii) a novel set of Class II Folate Receptor Alpha peptide antigens. We have a world-wide exclusive license from BCM of the rights in and to three patent families to develop and commercialize MultiTAA-specific T cell product candidates in the field of oncology. As a result of these in-licenses, we could lose the right to develop each of the technologies if:</w:t>
      </w:r>
    </w:p>
    <w:p>
      <w:pPr>
        <w:spacing w:after="0" w:line="187"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Mayo Foundation or BCM seeks to terminate our license in contravention of the license agreements;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Foundation or BCM or others for other rights that are necessary to develop the technology that we have already in-licensed.</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Foundation or BCM, or the exclusivity rights provided by such license agreements, could materially harm our financial condition and operating results.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Competitors may infringe our intellectual property rights or those of our licensors.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financial resources from which to budget and allocate among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for acceptance of our immunotherapies;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relating to expansion of our business, operations and infrastructure;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rely on multiple levels of outside funding due to the length of drug development cycles and governmental approved protocols associated with the pharmaceutical industry;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dependence on BCM facilities to conduct research and development activities;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dependence upon key personnel including key independent consultants and advisors.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newly developed MultiTAA-specific T cell technology from BCM and others.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important element of our intellectual property portfolio is to license additional rights and technologies from BCM. Our inability to license the rights and technologies that we have identified, or newly developed MultiTAA-specific 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a small patient population that suffers from AML. Even if we obtain significant market share for our product candidates, because the potential target populations are small, we may never achieve profitability without obtaining regulatory approval for additional indications.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pay substantial royalties and lump sum milestone payments under our license agreements with BCM and the Mayo Foundation, and we must meet certain milestones to maintain our license rights.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license agreement with BCM for our MultiTAA-specific 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 Similarly, we are also required to pay both substantial milestone payments and royalties to the Mayo Foundation based on our revenues from sales of our products utilizing those licensed technologies. There is no assurance that we will be successful in meeting all of the milestones in our licenses in the future on a timely basis or at all.</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our current product candidates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Since our current product candidates and any future product candidates will represent new approaches to treating various conditions, it may be difficult, in any event, to accurately estimate the potential revenues from these product candidates. Accordingly, we may spend large amounts of money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MultiTAA-specific T cell therapy may be provided to patients in combination with other agents provided by third parties. The cost of such combination therapy may increase the overall cost of MultiTAA-specific 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Phase II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from non-profit institutions.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that may render our product candidates obsolete even before they generate any revenue. There are products currently under development by others that could compete with the product candidates that we are developing. Many of our potential competitors have substantially greater research and development capabilities and manufacturing, marketing, financial and managerial resources than we have. Our competitors may:</w:t>
      </w:r>
    </w:p>
    <w:p>
      <w:pPr>
        <w:spacing w:after="0" w:line="15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safer or more effective immunotherapies and other therapeutic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Potential competitors in the market for treating hematological malignancies are companies such as Juno Therapeutics/Celgene/Bristol-Myers Squibb, Roche/Genentech, Merck, Novartis, Kite Pharma/Gilead, Amgen, Pfizer, and GlaxoSmithKline, which already have products on the market or in development. Other companies, such as Cellectis, Bluebird Bio, and AdaptImmune, which are focused on genetically engineered T cell technologies to treat cancer, may also be competitors. Furthermore, companies such as Iovance, Immatics, WindMIL Therapeutics, Mana Therapeutics, Tessa Therapeutics and Torque Therapeutics (now Repetoire Immune Medicines) are developing non-genetically modified T cell therapies such as tumor infiltrating lymphocytes and marrow infiltrating lymphocytes therapies that may compete with our product candidates. All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7"/>
          <w:szCs w:val="17"/>
          <w:color w:val="auto"/>
        </w:rPr>
        <w:t>Universities and public and private research institutions in the U.S. and around the world are also potential competitors.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lead product candidate is a therapy for the treatment of refractory AML. Currently, there are numerous companies that are developing various alternate treatments for AML. Accordingly, we face significant competition in the AML treatment space from multiple companies. 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4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required, pursuant to Section 404 of the Sarbanes-Oxley Act, or Section 404, to furnish a report by management on, among other things, the effectiveness of our internal control over financial reporting. This report by management is included in Part II, Item 9A of this Form 10-K. In addition, our independent registered public accounting firm is required to attest to the effectiveness of our internal control over financial reporting in this Form 10-K. We are also required to disclose significant changes made in our internal control procedures on a quarterly basis.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cybersecurity/information systems risk.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successful breaches, employee malfeasance, or human or technological error,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We maintain cybersecurity insurance however an incident may exceed our coverage premiums.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costs of addressing a cybersecurity incident.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Cybersecurity incidents have increased in number and severity recently and it is expected that these trends will continue. Should we be affected by such an incident, we may incur substantial costs and suffer other negative consequences, which may include:</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investigation costs and costs to engage specialized consultants;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and incentives to customers or business partners in an effort to maintain relationships after an attack;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and federal regulators.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and certain other tax attributes to offset future taxable income may be subject to limitation.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Our NOLs generated in tax years ending on or prior to December 31, 2017 are permitted to be carried forward for only 20 years under applicable U.S. tax law. Our federal NOLs generated in tax years ending after December 31, 2017 may be carried forward indefinitely, but the deductibility of federal NOLs generated in tax years beginning after December 31, 2020 is subject to certain limitations. It is uncertain if and to what extent various states will conform to the Tax Act.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under Section 382 and Section 383 of the Internal Revenue Code of 1986, as amended, or, the Code, and corresponding provisions of state law,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Consequently, even if we achieve profitability, we may not be able to utilize a material portion of our net operating loss carryforwards and certain other tax attributes, which could have a material adverse effect on cash flow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center"/>
        <w:ind w:right="-33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 candidates may still face regulatory difficulties.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w:t>
      </w:r>
    </w:p>
    <w:p>
      <w:pPr>
        <w:spacing w:after="0" w:line="18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No adoptive T cell therapy using MultiTAA-specific 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CMC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We may also experience delays in completing planned clinical trials for a variety of reasons, including delays related to:</w:t>
      </w:r>
    </w:p>
    <w:p>
      <w:pPr>
        <w:spacing w:after="0" w:line="17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approval by an independent IRB at each clinical trial site;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980" w:right="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the performance of our CROs may also be interrupted by the ongoing COVID-19 pandemic, including due to travel or quarantine policies, heightened exposure of CRO staff who are healthcare providers to COVID-19 or prioritization of resources toward the pandemic.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Such laws include:</w:t>
      </w:r>
    </w:p>
    <w:p>
      <w:pPr>
        <w:spacing w:after="0" w:line="252" w:lineRule="exact"/>
        <w:rPr>
          <w:sz w:val="20"/>
          <w:szCs w:val="20"/>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21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1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p>
      <w:pPr>
        <w:spacing w:after="0" w:line="173"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214"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as defined by such law, and teaching hospitals, and applicable manufacturers and applicable group purchasing organizations to report annually to CMS ownership and investment interests held by physicians and their immediate family members; and</w:t>
      </w:r>
    </w:p>
    <w:p>
      <w:pPr>
        <w:spacing w:after="0" w:line="203"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analogous state, local, and foreign laws and regulations, such as state anti-kickback and false claims laws, which may apply to sales or marketing arrangements and claims involving healthcare items or services reimbursed by non-governmental third 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956" w:gutter="0" w:footer="0" w:header="0"/>
        </w:sectPr>
      </w:pPr>
    </w:p>
    <w:bookmarkStart w:id="52" w:name="page53"/>
    <w:bookmarkEnd w:id="52"/>
    <w:p>
      <w:pPr>
        <w:jc w:val="both"/>
        <w:spacing w:after="0" w:line="270"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any sales of our product once commercialized outside the U.S. will also likely subject us to foreign equivalents of the healthcare laws mentioned above, among other foreign laws.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in the United States and other countries may affect the prices we may obtain for our product candidates and increase the difficulty and cost to commercialize our product candidates.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spacing w:after="0" w:line="14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or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Since January 2017, President Trump has signed executive orders and other directives designed to delay, circumvent, or loosen certain requirements mandated by the ACA. Concurrently, Congress has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eliminates, effective January 1, 2020, the ACA-mandated “Cadillac” tax on high-cost employer-sponsored health coverage and medical device tax and, effective January 1, 2021, also eliminates the health insurer tax. 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Further,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 Congress may consider other legislation to repeal or replace elements of the ACA. These actions may result in increased health insurance premiums and reduce the number of people with health insurance in the United States and have other effects that could adversely affect U.S. health insurance markets and the ability of patients to have access to therapies that our product candidates can provide.</w:t>
      </w:r>
    </w:p>
    <w:p>
      <w:pPr>
        <w:spacing w:after="0" w:line="3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other federal health reform measures have been proposed and adopted in the United States. For example, as a result of the Budget Control Act of 2011 and subsequent legislative amendments thereto, providers are subject to Medicare payment reductions of 2% per fiscal year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under which certain individual Medicare providers will be subject to certain incentives or penalties based on new program quality standards also referred to as the Quality Payment Program. Payment adjustments for the Medicare quality payment program was set to begin in 2019.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spacing w:after="0" w:line="285" w:lineRule="auto"/>
        <w:rPr>
          <w:sz w:val="20"/>
          <w:szCs w:val="20"/>
          <w:color w:val="auto"/>
        </w:rPr>
      </w:pPr>
      <w:r>
        <w:rPr>
          <w:rFonts w:ascii="Arial" w:cs="Arial" w:eastAsia="Arial" w:hAnsi="Arial"/>
          <w:sz w:val="16"/>
          <w:szCs w:val="16"/>
          <w:color w:val="auto"/>
        </w:rPr>
        <w:t>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Resources has solicited feedback on some of these measures and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 Although a number of these, and other measures may require additional authorization to become effective, Congress and the executive branch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 It is possible that additional governmental action is taken to address the COVID-19 pandemic. For example, on April 18, 2020, CMS announced that ACA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has granted orphan drug designation for MT-401 for the treatment of AML after receiving an allogenic stem cell transplant.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Medicines Agency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regulatory pathways for biosimilar competition could reduce the duration of market exclusivity for our products.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federal ACA enacted in 2010,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U.S. administration and Congress could carry out significant changes in legislation, regulation, and government policy (including with respect to the possible repeal of all or portions of the ACA, possible changes in the existing treaty and trade relationships with other countries, and tax reform).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8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are not limited to, the following:</w:t>
      </w:r>
    </w:p>
    <w:p>
      <w:pPr>
        <w:spacing w:after="0" w:line="18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collaboration agreements with strategic partners or developments by our existing collaboration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product candidates, or progress toward commercialization by our competitors or peers;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large blocks of our stock and sales by insiders and our institutional investors;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events affecting BCM, Mayo Clinic, Mayo Foundation for Medical Education and Research or any future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product candidates or technologies, commercial relationships or other events by us or our competitors;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developments in the United States and other countries, including changes in the structure of healthcare payment systems;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Nasdaq;</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outcome of any litigation to which we are a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 of the Company or our stock price by the financial and scientific press and in online investor communities.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listing of our common stock on Nasdaq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225" w:lineRule="exact"/>
        <w:rPr>
          <w:sz w:val="20"/>
          <w:szCs w:val="20"/>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shares upon the exercise of outstanding warrants or the issuance of preferred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and biotech industries generally;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980" w:right="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other national and global conditions, including the ongoing COVID-19 pandemic and related global economic uncertainty.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To the extent that we sell equity securities or convertible debt securities,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currently authorized to issue 150 million shares of our common stock. As of March 31, 2020, we had 46.5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March 31, 2020, there were outstanding warrants to purchase up to approximately 21.4 million shares of our common stock at a weighted average exercise price of $4.69 per share, and options exercisable for an aggregate of approximately 6.3 million shares of common stock at a weighted average exercise price of $6.60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March 31, 2020, the fair value of the derivative liability-warrants was $0.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any issuances of unregistered securities during the first quarter of 2020.</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2"/>
              </w:rPr>
              <w:t>Incorporated by</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Exhibit</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7"/>
              </w:rPr>
              <w:t>Reference</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5"/>
              </w:rPr>
              <w:t>Filing</w:t>
            </w: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8"/>
        </w:trPr>
        <w:tc>
          <w:tcPr>
            <w:tcW w:w="680" w:type="dxa"/>
            <w:vAlign w:val="bottom"/>
            <w:gridSpan w:val="2"/>
            <w:vMerge w:val="continue"/>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number</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20" w:type="dxa"/>
            <w:vAlign w:val="bottom"/>
            <w:gridSpan w:val="8"/>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Form</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File no.</w:t>
            </w: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99"/>
              </w:rPr>
              <w:t>Exhibit</w:t>
            </w:r>
          </w:p>
        </w:tc>
        <w:tc>
          <w:tcPr>
            <w:tcW w:w="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date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209"/>
        </w:trPr>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3.1</w:t>
              </w:r>
            </w:hyperlink>
          </w:p>
        </w:tc>
        <w:tc>
          <w:tcPr>
            <w:tcW w:w="60" w:type="dxa"/>
            <w:vAlign w:val="bottom"/>
            <w:shd w:val="clear" w:color="auto" w:fill="CCEEFF"/>
          </w:tcPr>
          <w:p>
            <w:pPr>
              <w:spacing w:after="0"/>
              <w:rPr>
                <w:sz w:val="18"/>
                <w:szCs w:val="18"/>
                <w:color w:val="auto"/>
              </w:rPr>
            </w:pPr>
          </w:p>
        </w:tc>
        <w:tc>
          <w:tcPr>
            <w:tcW w:w="7220" w:type="dxa"/>
            <w:vAlign w:val="bottom"/>
            <w:gridSpan w:val="11"/>
            <w:shd w:val="clear" w:color="auto" w:fill="CCEEFF"/>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Certificate of Incorporation (Delaware).</w:t>
              </w:r>
            </w:hyperlink>
          </w:p>
        </w:tc>
        <w:tc>
          <w:tcPr>
            <w:tcW w:w="480" w:type="dxa"/>
            <w:vAlign w:val="bottom"/>
            <w:gridSpan w:val="2"/>
            <w:shd w:val="clear" w:color="auto" w:fill="CCEEFF"/>
          </w:tcPr>
          <w:p>
            <w:pPr>
              <w:jc w:val="center"/>
              <w:ind w:right="80"/>
              <w:spacing w:after="0"/>
              <w:rPr>
                <w:rFonts w:ascii="Arial" w:cs="Arial" w:eastAsia="Arial" w:hAnsi="Arial"/>
                <w:sz w:val="18"/>
                <w:szCs w:val="18"/>
                <w:u w:val="single" w:color="auto"/>
                <w:color w:val="0000EE"/>
                <w:w w:val="99"/>
              </w:rPr>
            </w:pPr>
            <w:hyperlink r:id="rId112">
              <w:r>
                <w:rPr>
                  <w:rFonts w:ascii="Arial" w:cs="Arial" w:eastAsia="Arial" w:hAnsi="Arial"/>
                  <w:sz w:val="18"/>
                  <w:szCs w:val="18"/>
                  <w:u w:val="single" w:color="auto"/>
                  <w:color w:val="0000EE"/>
                  <w:w w:val="99"/>
                </w:rPr>
                <w:t>8-K</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EE"/>
                <w:w w:val="90"/>
              </w:rPr>
            </w:pPr>
            <w:hyperlink r:id="rId112">
              <w:r>
                <w:rPr>
                  <w:rFonts w:ascii="Arial" w:cs="Arial" w:eastAsia="Arial" w:hAnsi="Arial"/>
                  <w:sz w:val="18"/>
                  <w:szCs w:val="18"/>
                  <w:u w:val="single" w:color="auto"/>
                  <w:color w:val="0000EE"/>
                  <w:w w:val="90"/>
                </w:rPr>
                <w:t>001-37939</w:t>
              </w:r>
            </w:hyperlink>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rFonts w:ascii="Arial" w:cs="Arial" w:eastAsia="Arial" w:hAnsi="Arial"/>
                <w:sz w:val="18"/>
                <w:szCs w:val="18"/>
                <w:u w:val="single" w:color="auto"/>
                <w:color w:val="0000EE"/>
                <w:w w:val="87"/>
              </w:rPr>
            </w:pPr>
            <w:hyperlink r:id="rId112">
              <w:r>
                <w:rPr>
                  <w:rFonts w:ascii="Arial" w:cs="Arial" w:eastAsia="Arial" w:hAnsi="Arial"/>
                  <w:sz w:val="18"/>
                  <w:szCs w:val="18"/>
                  <w:u w:val="single" w:color="auto"/>
                  <w:color w:val="0000EE"/>
                  <w:w w:val="87"/>
                </w:rPr>
                <w:t>3.4</w:t>
              </w:r>
            </w:hyperlink>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rFonts w:ascii="Arial" w:cs="Arial" w:eastAsia="Arial" w:hAnsi="Arial"/>
                <w:sz w:val="18"/>
                <w:szCs w:val="18"/>
                <w:u w:val="single" w:color="auto"/>
                <w:color w:val="0000EE"/>
                <w:w w:val="91"/>
              </w:rPr>
            </w:pPr>
            <w:hyperlink r:id="rId112">
              <w:r>
                <w:rPr>
                  <w:rFonts w:ascii="Arial" w:cs="Arial" w:eastAsia="Arial" w:hAnsi="Arial"/>
                  <w:sz w:val="18"/>
                  <w:szCs w:val="18"/>
                  <w:u w:val="single" w:color="auto"/>
                  <w:color w:val="0000EE"/>
                  <w:w w:val="91"/>
                </w:rPr>
                <w:t>10/17/18</w:t>
              </w:r>
            </w:hyperlink>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3.2</w:t>
              </w:r>
            </w:hyperlink>
          </w:p>
        </w:tc>
        <w:tc>
          <w:tcPr>
            <w:tcW w:w="60" w:type="dxa"/>
            <w:vAlign w:val="bottom"/>
            <w:shd w:val="clear" w:color="auto" w:fill="CCEEFF"/>
          </w:tcPr>
          <w:p>
            <w:pPr>
              <w:spacing w:after="0"/>
              <w:rPr>
                <w:sz w:val="18"/>
                <w:szCs w:val="18"/>
                <w:color w:val="auto"/>
              </w:rPr>
            </w:pPr>
          </w:p>
        </w:tc>
        <w:tc>
          <w:tcPr>
            <w:tcW w:w="7220" w:type="dxa"/>
            <w:vAlign w:val="bottom"/>
            <w:gridSpan w:val="11"/>
            <w:shd w:val="clear" w:color="auto" w:fill="CCEEFF"/>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Bylaws of Marker Therapeutics, Inc.</w:t>
              </w:r>
            </w:hyperlink>
          </w:p>
        </w:tc>
        <w:tc>
          <w:tcPr>
            <w:tcW w:w="480" w:type="dxa"/>
            <w:vAlign w:val="bottom"/>
            <w:gridSpan w:val="2"/>
            <w:shd w:val="clear" w:color="auto" w:fill="CCEEFF"/>
          </w:tcPr>
          <w:p>
            <w:pPr>
              <w:jc w:val="center"/>
              <w:ind w:right="80"/>
              <w:spacing w:after="0"/>
              <w:rPr>
                <w:rFonts w:ascii="Arial" w:cs="Arial" w:eastAsia="Arial" w:hAnsi="Arial"/>
                <w:sz w:val="18"/>
                <w:szCs w:val="18"/>
                <w:u w:val="single" w:color="auto"/>
                <w:color w:val="0000EE"/>
                <w:w w:val="99"/>
              </w:rPr>
            </w:pPr>
            <w:hyperlink r:id="rId113">
              <w:r>
                <w:rPr>
                  <w:rFonts w:ascii="Arial" w:cs="Arial" w:eastAsia="Arial" w:hAnsi="Arial"/>
                  <w:sz w:val="18"/>
                  <w:szCs w:val="18"/>
                  <w:u w:val="single" w:color="auto"/>
                  <w:color w:val="0000EE"/>
                  <w:w w:val="99"/>
                </w:rPr>
                <w:t>8-K</w:t>
              </w:r>
            </w:hyperlink>
          </w:p>
        </w:tc>
        <w:tc>
          <w:tcPr>
            <w:tcW w:w="780" w:type="dxa"/>
            <w:vAlign w:val="bottom"/>
            <w:shd w:val="clear" w:color="auto" w:fill="CCEEFF"/>
          </w:tcPr>
          <w:p>
            <w:pPr>
              <w:jc w:val="center"/>
              <w:spacing w:after="0"/>
              <w:rPr>
                <w:rFonts w:ascii="Arial" w:cs="Arial" w:eastAsia="Arial" w:hAnsi="Arial"/>
                <w:sz w:val="18"/>
                <w:szCs w:val="18"/>
                <w:u w:val="single" w:color="auto"/>
                <w:color w:val="0000EE"/>
                <w:w w:val="90"/>
              </w:rPr>
            </w:pPr>
            <w:hyperlink r:id="rId113">
              <w:r>
                <w:rPr>
                  <w:rFonts w:ascii="Arial" w:cs="Arial" w:eastAsia="Arial" w:hAnsi="Arial"/>
                  <w:sz w:val="18"/>
                  <w:szCs w:val="18"/>
                  <w:u w:val="single" w:color="auto"/>
                  <w:color w:val="0000EE"/>
                  <w:w w:val="90"/>
                </w:rPr>
                <w:t>001-37939</w:t>
              </w:r>
            </w:hyperlink>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rFonts w:ascii="Arial" w:cs="Arial" w:eastAsia="Arial" w:hAnsi="Arial"/>
                <w:sz w:val="18"/>
                <w:szCs w:val="18"/>
                <w:u w:val="single" w:color="auto"/>
                <w:color w:val="0000EE"/>
                <w:w w:val="87"/>
              </w:rPr>
            </w:pPr>
            <w:hyperlink r:id="rId113">
              <w:r>
                <w:rPr>
                  <w:rFonts w:ascii="Arial" w:cs="Arial" w:eastAsia="Arial" w:hAnsi="Arial"/>
                  <w:sz w:val="18"/>
                  <w:szCs w:val="18"/>
                  <w:u w:val="single" w:color="auto"/>
                  <w:color w:val="0000EE"/>
                  <w:w w:val="87"/>
                </w:rPr>
                <w:t>3.6</w:t>
              </w:r>
            </w:hyperlink>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rFonts w:ascii="Arial" w:cs="Arial" w:eastAsia="Arial" w:hAnsi="Arial"/>
                <w:sz w:val="18"/>
                <w:szCs w:val="18"/>
                <w:u w:val="single" w:color="auto"/>
                <w:color w:val="0000EE"/>
                <w:w w:val="91"/>
              </w:rPr>
            </w:pPr>
            <w:hyperlink r:id="rId113">
              <w:r>
                <w:rPr>
                  <w:rFonts w:ascii="Arial" w:cs="Arial" w:eastAsia="Arial" w:hAnsi="Arial"/>
                  <w:sz w:val="18"/>
                  <w:szCs w:val="18"/>
                  <w:u w:val="single" w:color="auto"/>
                  <w:color w:val="0000EE"/>
                  <w:w w:val="91"/>
                </w:rPr>
                <w:t>10/17/18</w:t>
              </w:r>
            </w:hyperlink>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2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4.1</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0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Registration Rights Agreement, dated February 28, 2020, between Marker Therapeutics, Inc. and</w:t>
              </w:r>
            </w:hyperlink>
          </w:p>
        </w:tc>
        <w:tc>
          <w:tcPr>
            <w:tcW w:w="220" w:type="dxa"/>
            <w:vAlign w:val="bottom"/>
            <w:tcBorders>
              <w:bottom w:val="single" w:sz="8" w:color="CCEEFF"/>
            </w:tcBorders>
            <w:gridSpan w:val="5"/>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20" w:type="dxa"/>
            <w:vAlign w:val="bottom"/>
            <w:gridSpan w:val="11"/>
            <w:shd w:val="clear" w:color="auto" w:fill="CCEEFF"/>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Aspire Capital Fund, LLC</w:t>
              </w:r>
            </w:hyperlink>
          </w:p>
        </w:tc>
        <w:tc>
          <w:tcPr>
            <w:tcW w:w="480" w:type="dxa"/>
            <w:vAlign w:val="bottom"/>
            <w:gridSpan w:val="2"/>
            <w:shd w:val="clear" w:color="auto" w:fill="CCEEFF"/>
          </w:tcPr>
          <w:p>
            <w:pPr>
              <w:jc w:val="center"/>
              <w:ind w:right="80"/>
              <w:spacing w:after="0" w:line="196" w:lineRule="exact"/>
              <w:rPr>
                <w:rFonts w:ascii="Arial" w:cs="Arial" w:eastAsia="Arial" w:hAnsi="Arial"/>
                <w:sz w:val="18"/>
                <w:szCs w:val="18"/>
                <w:u w:val="single" w:color="auto"/>
                <w:color w:val="0000EE"/>
                <w:w w:val="99"/>
              </w:rPr>
            </w:pPr>
            <w:hyperlink r:id="rId114">
              <w:r>
                <w:rPr>
                  <w:rFonts w:ascii="Arial" w:cs="Arial" w:eastAsia="Arial" w:hAnsi="Arial"/>
                  <w:sz w:val="18"/>
                  <w:szCs w:val="18"/>
                  <w:u w:val="single" w:color="auto"/>
                  <w:color w:val="0000EE"/>
                  <w:w w:val="99"/>
                </w:rPr>
                <w:t>8-K</w:t>
              </w:r>
            </w:hyperlink>
          </w:p>
        </w:tc>
        <w:tc>
          <w:tcPr>
            <w:tcW w:w="780" w:type="dxa"/>
            <w:vAlign w:val="bottom"/>
            <w:shd w:val="clear" w:color="auto" w:fill="CCEEFF"/>
          </w:tcPr>
          <w:p>
            <w:pPr>
              <w:jc w:val="center"/>
              <w:spacing w:after="0" w:line="196" w:lineRule="exact"/>
              <w:rPr>
                <w:rFonts w:ascii="Arial" w:cs="Arial" w:eastAsia="Arial" w:hAnsi="Arial"/>
                <w:sz w:val="18"/>
                <w:szCs w:val="18"/>
                <w:u w:val="single" w:color="auto"/>
                <w:color w:val="0000EE"/>
                <w:w w:val="90"/>
              </w:rPr>
            </w:pPr>
            <w:hyperlink r:id="rId114">
              <w:r>
                <w:rPr>
                  <w:rFonts w:ascii="Arial" w:cs="Arial" w:eastAsia="Arial" w:hAnsi="Arial"/>
                  <w:sz w:val="18"/>
                  <w:szCs w:val="18"/>
                  <w:u w:val="single" w:color="auto"/>
                  <w:color w:val="0000EE"/>
                  <w:w w:val="90"/>
                </w:rPr>
                <w:t>001-37939</w:t>
              </w:r>
            </w:hyperlink>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line="196" w:lineRule="exact"/>
              <w:rPr>
                <w:rFonts w:ascii="Arial" w:cs="Arial" w:eastAsia="Arial" w:hAnsi="Arial"/>
                <w:sz w:val="18"/>
                <w:szCs w:val="18"/>
                <w:u w:val="single" w:color="auto"/>
                <w:color w:val="0000EE"/>
                <w:w w:val="87"/>
              </w:rPr>
            </w:pPr>
            <w:hyperlink r:id="rId114">
              <w:r>
                <w:rPr>
                  <w:rFonts w:ascii="Arial" w:cs="Arial" w:eastAsia="Arial" w:hAnsi="Arial"/>
                  <w:sz w:val="18"/>
                  <w:szCs w:val="18"/>
                  <w:u w:val="single" w:color="auto"/>
                  <w:color w:val="0000EE"/>
                  <w:w w:val="87"/>
                </w:rPr>
                <w:t>4.1</w:t>
              </w:r>
            </w:hyperlink>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line="196" w:lineRule="exact"/>
              <w:rPr>
                <w:rFonts w:ascii="Arial" w:cs="Arial" w:eastAsia="Arial" w:hAnsi="Arial"/>
                <w:sz w:val="18"/>
                <w:szCs w:val="18"/>
                <w:u w:val="single" w:color="auto"/>
                <w:color w:val="0000EE"/>
                <w:w w:val="91"/>
              </w:rPr>
            </w:pPr>
            <w:hyperlink r:id="rId114">
              <w:r>
                <w:rPr>
                  <w:rFonts w:ascii="Arial" w:cs="Arial" w:eastAsia="Arial" w:hAnsi="Arial"/>
                  <w:sz w:val="18"/>
                  <w:szCs w:val="18"/>
                  <w:u w:val="single" w:color="auto"/>
                  <w:color w:val="0000EE"/>
                  <w:w w:val="91"/>
                </w:rPr>
                <w:t>3/2/20</w:t>
              </w:r>
            </w:hyperlink>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10.1</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Common Stock Purchase Agreement, dated February 28, 2020, between Marker Therapeutics, Inc.</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20" w:type="dxa"/>
            <w:vAlign w:val="bottom"/>
            <w:gridSpan w:val="11"/>
            <w:shd w:val="clear" w:color="auto" w:fill="CCEEFF"/>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and Aspire Capital Fund, LLC</w:t>
              </w:r>
            </w:hyperlink>
          </w:p>
        </w:tc>
        <w:tc>
          <w:tcPr>
            <w:tcW w:w="480" w:type="dxa"/>
            <w:vAlign w:val="bottom"/>
            <w:gridSpan w:val="2"/>
            <w:shd w:val="clear" w:color="auto" w:fill="CCEEFF"/>
          </w:tcPr>
          <w:p>
            <w:pPr>
              <w:jc w:val="center"/>
              <w:ind w:right="80"/>
              <w:spacing w:after="0" w:line="196" w:lineRule="exact"/>
              <w:rPr>
                <w:rFonts w:ascii="Arial" w:cs="Arial" w:eastAsia="Arial" w:hAnsi="Arial"/>
                <w:sz w:val="18"/>
                <w:szCs w:val="18"/>
                <w:u w:val="single" w:color="auto"/>
                <w:color w:val="0000EE"/>
                <w:w w:val="99"/>
              </w:rPr>
            </w:pPr>
            <w:hyperlink r:id="rId115">
              <w:r>
                <w:rPr>
                  <w:rFonts w:ascii="Arial" w:cs="Arial" w:eastAsia="Arial" w:hAnsi="Arial"/>
                  <w:sz w:val="18"/>
                  <w:szCs w:val="18"/>
                  <w:u w:val="single" w:color="auto"/>
                  <w:color w:val="0000EE"/>
                  <w:w w:val="99"/>
                </w:rPr>
                <w:t>8-K</w:t>
              </w:r>
            </w:hyperlink>
          </w:p>
        </w:tc>
        <w:tc>
          <w:tcPr>
            <w:tcW w:w="780" w:type="dxa"/>
            <w:vAlign w:val="bottom"/>
            <w:shd w:val="clear" w:color="auto" w:fill="CCEEFF"/>
          </w:tcPr>
          <w:p>
            <w:pPr>
              <w:jc w:val="center"/>
              <w:spacing w:after="0" w:line="196" w:lineRule="exact"/>
              <w:rPr>
                <w:rFonts w:ascii="Arial" w:cs="Arial" w:eastAsia="Arial" w:hAnsi="Arial"/>
                <w:sz w:val="18"/>
                <w:szCs w:val="18"/>
                <w:u w:val="single" w:color="auto"/>
                <w:color w:val="0000EE"/>
                <w:w w:val="90"/>
              </w:rPr>
            </w:pPr>
            <w:hyperlink r:id="rId115">
              <w:r>
                <w:rPr>
                  <w:rFonts w:ascii="Arial" w:cs="Arial" w:eastAsia="Arial" w:hAnsi="Arial"/>
                  <w:sz w:val="18"/>
                  <w:szCs w:val="18"/>
                  <w:u w:val="single" w:color="auto"/>
                  <w:color w:val="0000EE"/>
                  <w:w w:val="90"/>
                </w:rPr>
                <w:t>001-37939</w:t>
              </w:r>
            </w:hyperlink>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line="196" w:lineRule="exact"/>
              <w:rPr>
                <w:rFonts w:ascii="Arial" w:cs="Arial" w:eastAsia="Arial" w:hAnsi="Arial"/>
                <w:sz w:val="18"/>
                <w:szCs w:val="18"/>
                <w:u w:val="single" w:color="auto"/>
                <w:color w:val="0000EE"/>
                <w:w w:val="91"/>
              </w:rPr>
            </w:pPr>
            <w:hyperlink r:id="rId115">
              <w:r>
                <w:rPr>
                  <w:rFonts w:ascii="Arial" w:cs="Arial" w:eastAsia="Arial" w:hAnsi="Arial"/>
                  <w:sz w:val="18"/>
                  <w:szCs w:val="18"/>
                  <w:u w:val="single" w:color="auto"/>
                  <w:color w:val="0000EE"/>
                  <w:w w:val="91"/>
                </w:rPr>
                <w:t>10.1</w:t>
              </w:r>
            </w:hyperlink>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line="196" w:lineRule="exact"/>
              <w:rPr>
                <w:rFonts w:ascii="Arial" w:cs="Arial" w:eastAsia="Arial" w:hAnsi="Arial"/>
                <w:sz w:val="18"/>
                <w:szCs w:val="18"/>
                <w:u w:val="single" w:color="auto"/>
                <w:color w:val="0000EE"/>
                <w:w w:val="91"/>
              </w:rPr>
            </w:pPr>
            <w:hyperlink r:id="rId115">
              <w:r>
                <w:rPr>
                  <w:rFonts w:ascii="Arial" w:cs="Arial" w:eastAsia="Arial" w:hAnsi="Arial"/>
                  <w:sz w:val="18"/>
                  <w:szCs w:val="18"/>
                  <w:u w:val="single" w:color="auto"/>
                  <w:color w:val="0000EE"/>
                  <w:w w:val="91"/>
                </w:rPr>
                <w:t>3/2/20</w:t>
              </w:r>
            </w:hyperlink>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20" w:type="dxa"/>
            <w:vAlign w:val="bottom"/>
            <w:shd w:val="clear" w:color="auto" w:fill="CCEEFF"/>
          </w:tcPr>
          <w:p>
            <w:pPr>
              <w:spacing w:after="0" w:line="176"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31.1</w:t>
              </w:r>
            </w:hyperlink>
          </w:p>
        </w:tc>
        <w:tc>
          <w:tcPr>
            <w:tcW w:w="60" w:type="dxa"/>
            <w:vAlign w:val="bottom"/>
            <w:shd w:val="clear" w:color="auto" w:fill="CCEEFF"/>
          </w:tcPr>
          <w:p>
            <w:pPr>
              <w:spacing w:after="0"/>
              <w:rPr>
                <w:sz w:val="15"/>
                <w:szCs w:val="15"/>
                <w:color w:val="auto"/>
              </w:rPr>
            </w:pPr>
          </w:p>
        </w:tc>
        <w:tc>
          <w:tcPr>
            <w:tcW w:w="7220" w:type="dxa"/>
            <w:vAlign w:val="bottom"/>
            <w:gridSpan w:val="11"/>
            <w:shd w:val="clear" w:color="auto" w:fill="CCEEFF"/>
          </w:tcPr>
          <w:p>
            <w:pPr>
              <w:spacing w:after="0" w:line="17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Certification of Chief Executive Officer Pursuant to Rule 13a-14(a) or 15d-14(a) of the Securities</w:t>
              </w:r>
            </w:hyperlink>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2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Exchange Act of 1933, as amended.</w:t>
              </w:r>
            </w:hyperlink>
          </w:p>
        </w:tc>
        <w:tc>
          <w:tcPr>
            <w:tcW w:w="200" w:type="dxa"/>
            <w:vAlign w:val="bottom"/>
            <w:tcBorders>
              <w:top w:val="single" w:sz="8" w:color="CCEEFF"/>
            </w:tcBorders>
            <w:gridSpan w:val="4"/>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center"/>
              <w:spacing w:after="0" w:line="196" w:lineRule="exact"/>
              <w:rPr>
                <w:rFonts w:ascii="Arial" w:cs="Arial" w:eastAsia="Arial" w:hAnsi="Arial"/>
                <w:sz w:val="18"/>
                <w:szCs w:val="18"/>
                <w:u w:val="single" w:color="auto"/>
                <w:color w:val="0000EE"/>
                <w:w w:val="99"/>
              </w:rPr>
            </w:pPr>
            <w:hyperlink w:anchor="page62">
              <w:r>
                <w:rPr>
                  <w:rFonts w:ascii="Arial" w:cs="Arial" w:eastAsia="Arial" w:hAnsi="Arial"/>
                  <w:sz w:val="18"/>
                  <w:szCs w:val="18"/>
                  <w:u w:val="single" w:color="auto"/>
                  <w:color w:val="0000EE"/>
                  <w:w w:val="99"/>
                </w:rPr>
                <w:t>X</w:t>
              </w:r>
            </w:hyperlink>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31.2</w:t>
              </w:r>
            </w:hyperlink>
          </w:p>
        </w:tc>
        <w:tc>
          <w:tcPr>
            <w:tcW w:w="60" w:type="dxa"/>
            <w:vAlign w:val="bottom"/>
            <w:tcBorders>
              <w:bottom w:val="single" w:sz="8" w:color="CCEEFF"/>
            </w:tcBorders>
            <w:shd w:val="clear" w:color="auto" w:fill="CCEEFF"/>
          </w:tcPr>
          <w:p>
            <w:pPr>
              <w:spacing w:after="0"/>
              <w:rPr>
                <w:sz w:val="15"/>
                <w:szCs w:val="15"/>
                <w:color w:val="auto"/>
              </w:rPr>
            </w:pPr>
          </w:p>
        </w:tc>
        <w:tc>
          <w:tcPr>
            <w:tcW w:w="69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Chief Financial Officer Pursuant to Rule 13a-14(a) or 15d-14(a) of the Securities</w:t>
              </w:r>
            </w:hyperlink>
          </w:p>
        </w:tc>
        <w:tc>
          <w:tcPr>
            <w:tcW w:w="240" w:type="dxa"/>
            <w:vAlign w:val="bottom"/>
            <w:tcBorders>
              <w:bottom w:val="single" w:sz="8" w:color="CCEEFF"/>
            </w:tcBorders>
            <w:gridSpan w:val="6"/>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20" w:type="dxa"/>
            <w:vAlign w:val="bottom"/>
            <w:gridSpan w:val="11"/>
            <w:shd w:val="clear" w:color="auto" w:fill="CCEEFF"/>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Exchange Act of 1933, as amended.</w:t>
              </w:r>
            </w:hyperlink>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line="196" w:lineRule="exact"/>
              <w:rPr>
                <w:rFonts w:ascii="Arial" w:cs="Arial" w:eastAsia="Arial" w:hAnsi="Arial"/>
                <w:sz w:val="18"/>
                <w:szCs w:val="18"/>
                <w:u w:val="single" w:color="auto"/>
                <w:color w:val="0000EE"/>
                <w:w w:val="99"/>
              </w:rPr>
            </w:pPr>
            <w:hyperlink w:anchor="page63">
              <w:r>
                <w:rPr>
                  <w:rFonts w:ascii="Arial" w:cs="Arial" w:eastAsia="Arial" w:hAnsi="Arial"/>
                  <w:sz w:val="18"/>
                  <w:szCs w:val="18"/>
                  <w:u w:val="single" w:color="auto"/>
                  <w:color w:val="0000EE"/>
                  <w:w w:val="99"/>
                </w:rPr>
                <w:t>X</w:t>
              </w:r>
            </w:hyperlink>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20" w:type="dxa"/>
            <w:vAlign w:val="bottom"/>
            <w:shd w:val="clear" w:color="auto" w:fill="CCEEFF"/>
          </w:tcPr>
          <w:p>
            <w:pPr>
              <w:spacing w:after="0" w:line="176"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32.1</w:t>
              </w:r>
            </w:hyperlink>
          </w:p>
        </w:tc>
        <w:tc>
          <w:tcPr>
            <w:tcW w:w="60" w:type="dxa"/>
            <w:vAlign w:val="bottom"/>
            <w:shd w:val="clear" w:color="auto" w:fill="CCEEFF"/>
          </w:tcPr>
          <w:p>
            <w:pPr>
              <w:spacing w:after="0"/>
              <w:rPr>
                <w:sz w:val="15"/>
                <w:szCs w:val="15"/>
                <w:color w:val="auto"/>
              </w:rPr>
            </w:pPr>
          </w:p>
        </w:tc>
        <w:tc>
          <w:tcPr>
            <w:tcW w:w="7220" w:type="dxa"/>
            <w:vAlign w:val="bottom"/>
            <w:gridSpan w:val="11"/>
            <w:shd w:val="clear" w:color="auto" w:fill="CCEEFF"/>
          </w:tcPr>
          <w:p>
            <w:pPr>
              <w:spacing w:after="0" w:line="17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Certification of Chief Executive Officer Pursuant to Rule 13a-14(a) or 15d-14(a) of the Securities</w:t>
              </w:r>
            </w:hyperlink>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2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Exchange Act of 1933, as amended.</w:t>
              </w:r>
            </w:hyperlink>
          </w:p>
        </w:tc>
        <w:tc>
          <w:tcPr>
            <w:tcW w:w="200" w:type="dxa"/>
            <w:vAlign w:val="bottom"/>
            <w:tcBorders>
              <w:top w:val="single" w:sz="8" w:color="CCEEFF"/>
            </w:tcBorders>
            <w:gridSpan w:val="4"/>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center"/>
              <w:spacing w:after="0" w:line="196" w:lineRule="exact"/>
              <w:rPr>
                <w:rFonts w:ascii="Arial" w:cs="Arial" w:eastAsia="Arial" w:hAnsi="Arial"/>
                <w:sz w:val="18"/>
                <w:szCs w:val="18"/>
                <w:u w:val="single" w:color="auto"/>
                <w:color w:val="0000EE"/>
                <w:w w:val="99"/>
              </w:rPr>
            </w:pPr>
            <w:hyperlink w:anchor="page64">
              <w:r>
                <w:rPr>
                  <w:rFonts w:ascii="Arial" w:cs="Arial" w:eastAsia="Arial" w:hAnsi="Arial"/>
                  <w:sz w:val="18"/>
                  <w:szCs w:val="18"/>
                  <w:u w:val="single" w:color="auto"/>
                  <w:color w:val="0000EE"/>
                  <w:w w:val="99"/>
                </w:rPr>
                <w:t>X</w:t>
              </w:r>
            </w:hyperlink>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0" w:type="dxa"/>
            <w:vAlign w:val="bottom"/>
            <w:tcBorders>
              <w:bottom w:val="single" w:sz="8" w:color="CCEEFF"/>
            </w:tcBorders>
            <w:shd w:val="clear" w:color="auto" w:fill="CCEEFF"/>
          </w:tcPr>
          <w:p>
            <w:pPr>
              <w:spacing w:after="0" w:line="176" w:lineRule="exact"/>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32.2</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Certification of Chief Financial Officer and Principal Financial Officer pursuant to 18 U.S.C. 1350</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20" w:type="dxa"/>
            <w:vAlign w:val="bottom"/>
            <w:gridSpan w:val="11"/>
            <w:shd w:val="clear" w:color="auto" w:fill="CCEEFF"/>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as adopted pursuant to Section 906 of the Sarbanes-Oxley Act of 2002.</w:t>
              </w:r>
            </w:hyperlink>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196" w:lineRule="exact"/>
              <w:rPr>
                <w:rFonts w:ascii="Arial" w:cs="Arial" w:eastAsia="Arial" w:hAnsi="Arial"/>
                <w:sz w:val="18"/>
                <w:szCs w:val="18"/>
                <w:u w:val="single" w:color="auto"/>
                <w:color w:val="0000EE"/>
                <w:w w:val="99"/>
              </w:rPr>
            </w:pPr>
            <w:hyperlink w:anchor="page65">
              <w:r>
                <w:rPr>
                  <w:rFonts w:ascii="Arial" w:cs="Arial" w:eastAsia="Arial" w:hAnsi="Arial"/>
                  <w:sz w:val="18"/>
                  <w:szCs w:val="18"/>
                  <w:u w:val="single" w:color="auto"/>
                  <w:color w:val="0000EE"/>
                  <w:w w:val="99"/>
                </w:rPr>
                <w:t>X</w:t>
              </w:r>
            </w:hyperlink>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Peter L. Hoang</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President, Chief Executive Officer and Principal Executive Officer</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Anthony Kim</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574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Kim, certify that:</w:t>
      </w:r>
    </w:p>
    <w:p>
      <w:pPr>
        <w:spacing w:after="0" w:line="225"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6459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Anthony Kim</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undersigned, Peter L. Hoang, the Chief Executive Officer of Marker Therapeutics, Inc. (the “Company”) hereby certifies, pursuant to 18 U.S.C. Section 1350, as adopted pursuant to Section 906 of the Sarbanes-Oxley Act of 2002, that the Quarterly Report on Form 10-Q for the period ending March 31, 2020,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May 11,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1423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undersigned, Anthony Kim, the Chief Financial Officer of Marker Therapeutics, Inc. (the “Company”) hereby certifies, pursuant to 18 U.S.C. Section 1350, as adopted pursuant to Section 906 of the Sarbanes-Oxley Act of 2002, that the Quarterly Report on Form 10-Q for the period ending March 31, 2020,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3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May 11,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14230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Anthony Kim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 and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Roman"/>
      <w:start w:val="4"/>
    </w:lvl>
  </w:abstractNum>
  <w:abstractNum w:abstractNumId="6">
    <w:nsid w:val="436C6125"/>
    <w:multiLevelType w:val="hybridMultilevel"/>
    <w:lvl w:ilvl="0">
      <w:lvlJc w:val="left"/>
      <w:lvlText w:val="o"/>
      <w:numFmt w:val="bullet"/>
      <w:start w:val="1"/>
    </w:lvl>
  </w:abstractNum>
  <w:abstractNum w:abstractNumId="7">
    <w:nsid w:val="628C895D"/>
    <w:multiLevelType w:val="hybridMultilevel"/>
    <w:lvl w:ilvl="0">
      <w:lvlJc w:val="left"/>
      <w:lvlText w:val="o"/>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12" Type="http://schemas.openxmlformats.org/officeDocument/2006/relationships/hyperlink" Target="http://www.sec.gov/Archives/edgar/data/1094038/000114420418054209/tv504951_ex3-4.htm" TargetMode="External"/><Relationship Id="rId113" Type="http://schemas.openxmlformats.org/officeDocument/2006/relationships/hyperlink" Target="http://www.sec.gov/Archives/edgar/data/1094038/000114420418054209/tv504951_ex3-6.htm" TargetMode="External"/><Relationship Id="rId114" Type="http://schemas.openxmlformats.org/officeDocument/2006/relationships/hyperlink" Target="http://www.sec.gov/Archives/edgar/data/1094038/000110465920027550/tm2011380d1_ex4-1.htm" TargetMode="External"/><Relationship Id="rId115" Type="http://schemas.openxmlformats.org/officeDocument/2006/relationships/hyperlink" Target="http://www.sec.gov/Archives/edgar/data/1094038/000110465920027550/tm201138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2020-05-11T15:25:39Z</dcterms:created>
  <dcterms:modified xsi:type="dcterms:W3CDTF">2020-05-11T15:25:39Z</dcterms:modified>
</cp:coreProperties>
</file>