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FORM 10-K</w:t>
      </w:r>
    </w:p>
    <w:p>
      <w:pPr>
        <w:spacing w:after="0" w:line="125" w:lineRule="exact"/>
        <w:rPr>
          <w:sz w:val="24"/>
          <w:szCs w:val="24"/>
          <w:color w:val="auto"/>
        </w:rPr>
      </w:pPr>
    </w:p>
    <w:p>
      <w:pPr>
        <w:ind w:left="326" w:hanging="326"/>
        <w:spacing w:after="0"/>
        <w:tabs>
          <w:tab w:leader="none" w:pos="326"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83" w:lineRule="exact"/>
        <w:rPr>
          <w:rFonts w:ascii="Arial" w:cs="Arial" w:eastAsia="Arial" w:hAnsi="Arial"/>
          <w:sz w:val="14"/>
          <w:szCs w:val="14"/>
          <w:color w:val="auto"/>
        </w:rPr>
      </w:pPr>
    </w:p>
    <w:p>
      <w:pPr>
        <w:ind w:left="3706"/>
        <w:spacing w:after="0"/>
        <w:rPr>
          <w:rFonts w:ascii="Arial" w:cs="Arial" w:eastAsia="Arial" w:hAnsi="Arial"/>
          <w:sz w:val="14"/>
          <w:szCs w:val="14"/>
          <w:color w:val="auto"/>
        </w:rPr>
      </w:pPr>
      <w:r>
        <w:rPr>
          <w:rFonts w:ascii="Arial" w:cs="Arial" w:eastAsia="Arial" w:hAnsi="Arial"/>
          <w:sz w:val="14"/>
          <w:szCs w:val="14"/>
          <w:b w:val="1"/>
          <w:bCs w:val="1"/>
          <w:color w:val="auto"/>
        </w:rPr>
        <w:t>For the Fiscal Year Ended December 31, 2021</w:t>
      </w:r>
    </w:p>
    <w:p>
      <w:pPr>
        <w:spacing w:after="0" w:line="109" w:lineRule="exact"/>
        <w:rPr>
          <w:sz w:val="24"/>
          <w:szCs w:val="24"/>
          <w:color w:val="auto"/>
        </w:rPr>
      </w:pPr>
    </w:p>
    <w:p>
      <w:pPr>
        <w:jc w:val="center"/>
        <w:ind w:right="-325"/>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326" w:right="2960" w:hanging="326"/>
        <w:spacing w:after="0" w:line="341" w:lineRule="auto"/>
        <w:tabs>
          <w:tab w:leader="none" w:pos="326"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w:t>
      </w:r>
    </w:p>
    <w:p>
      <w:pPr>
        <w:jc w:val="center"/>
        <w:ind w:right="-5"/>
        <w:spacing w:after="0"/>
        <w:rPr>
          <w:sz w:val="20"/>
          <w:szCs w:val="20"/>
          <w:color w:val="auto"/>
        </w:rPr>
      </w:pPr>
      <w:r>
        <w:rPr>
          <w:rFonts w:ascii="Arial" w:cs="Arial" w:eastAsia="Arial" w:hAnsi="Arial"/>
          <w:sz w:val="14"/>
          <w:szCs w:val="14"/>
          <w:b w:val="1"/>
          <w:bCs w:val="1"/>
          <w:color w:val="auto"/>
        </w:rPr>
        <w:t>Commission File Number: 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57785</wp:posOffset>
            </wp:positionV>
            <wp:extent cx="2040255"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u w:val="single" w:color="auto"/>
          <w:color w:val="auto"/>
        </w:rPr>
        <w:t>MARKER THERAPEUTICS, INC.</w:t>
      </w:r>
    </w:p>
    <w:p>
      <w:pPr>
        <w:spacing w:after="0" w:line="21" w:lineRule="exact"/>
        <w:rPr>
          <w:sz w:val="24"/>
          <w:szCs w:val="24"/>
          <w:color w:val="auto"/>
        </w:rPr>
      </w:pPr>
    </w:p>
    <w:p>
      <w:pPr>
        <w:jc w:val="center"/>
        <w:ind w:right="-5"/>
        <w:spacing w:after="0"/>
        <w:rPr>
          <w:sz w:val="20"/>
          <w:szCs w:val="20"/>
          <w:color w:val="auto"/>
        </w:rPr>
      </w:pPr>
      <w:r>
        <w:rPr>
          <w:rFonts w:ascii="Arial" w:cs="Arial" w:eastAsia="Arial" w:hAnsi="Arial"/>
          <w:sz w:val="14"/>
          <w:szCs w:val="14"/>
          <w:color w:val="auto"/>
        </w:rPr>
        <w:t>(Exact name of registrant as specified in its charter)</w:t>
      </w:r>
    </w:p>
    <w:p>
      <w:pPr>
        <w:spacing w:after="0" w:line="49" w:lineRule="exact"/>
        <w:rPr>
          <w:sz w:val="24"/>
          <w:szCs w:val="24"/>
          <w:color w:val="auto"/>
        </w:rPr>
      </w:pPr>
    </w:p>
    <w:tbl>
      <w:tblPr>
        <w:tblLayout w:type="fixed"/>
        <w:tblInd w:w="16" w:type="dxa"/>
        <w:tblCellMar>
          <w:top w:w="0" w:type="dxa"/>
          <w:left w:w="0" w:type="dxa"/>
          <w:bottom w:w="0" w:type="dxa"/>
          <w:right w:w="0" w:type="dxa"/>
        </w:tblCellMar>
      </w:tblPr>
      <w:tr>
        <w:trPr>
          <w:trHeight w:val="161"/>
        </w:trPr>
        <w:tc>
          <w:tcPr>
            <w:tcW w:w="2400" w:type="dxa"/>
            <w:vAlign w:val="bottom"/>
            <w:vMerge w:val="restart"/>
          </w:tcPr>
          <w:p>
            <w:pPr>
              <w:ind w:left="1860"/>
              <w:spacing w:after="0"/>
              <w:rPr>
                <w:sz w:val="20"/>
                <w:szCs w:val="20"/>
                <w:color w:val="auto"/>
              </w:rPr>
            </w:pPr>
            <w:r>
              <w:rPr>
                <w:rFonts w:ascii="Arial" w:cs="Arial" w:eastAsia="Arial" w:hAnsi="Arial"/>
                <w:sz w:val="14"/>
                <w:szCs w:val="14"/>
                <w:color w:val="auto"/>
                <w:w w:val="96"/>
              </w:rPr>
              <w:t>(State or</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45-4497941</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1240" w:type="dxa"/>
            <w:vAlign w:val="bottom"/>
            <w:gridSpan w:val="2"/>
          </w:tcPr>
          <w:p>
            <w:pPr>
              <w:spacing w:after="0" w:line="123" w:lineRule="exact"/>
              <w:rPr>
                <w:sz w:val="20"/>
                <w:szCs w:val="20"/>
                <w:color w:val="auto"/>
              </w:rPr>
            </w:pPr>
            <w:r>
              <w:rPr>
                <w:rFonts w:ascii="Arial" w:cs="Arial" w:eastAsia="Arial" w:hAnsi="Arial"/>
                <w:sz w:val="14"/>
                <w:szCs w:val="14"/>
                <w:color w:val="auto"/>
              </w:rPr>
              <w:t>other jurisdiction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40" w:type="dxa"/>
            <w:vAlign w:val="bottom"/>
            <w:gridSpan w:val="3"/>
          </w:tcPr>
          <w:p>
            <w:pPr>
              <w:jc w:val="center"/>
              <w:ind w:right="1140"/>
              <w:spacing w:after="0" w:line="123" w:lineRule="exact"/>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3640" w:type="dxa"/>
            <w:vAlign w:val="bottom"/>
            <w:gridSpan w:val="3"/>
          </w:tcPr>
          <w:p>
            <w:pPr>
              <w:jc w:val="center"/>
              <w:ind w:left="1668"/>
              <w:spacing w:after="0"/>
              <w:rPr>
                <w:sz w:val="20"/>
                <w:szCs w:val="20"/>
                <w:color w:val="auto"/>
              </w:rPr>
            </w:pPr>
            <w:r>
              <w:rPr>
                <w:rFonts w:ascii="Arial" w:cs="Arial" w:eastAsia="Arial" w:hAnsi="Arial"/>
                <w:sz w:val="14"/>
                <w:szCs w:val="14"/>
                <w:color w:val="auto"/>
                <w:w w:val="95"/>
              </w:rPr>
              <w:t>incorporation)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6680" w:type="dxa"/>
            <w:vAlign w:val="bottom"/>
            <w:gridSpan w:val="8"/>
          </w:tcPr>
          <w:p>
            <w:pPr>
              <w:jc w:val="center"/>
              <w:ind w:right="1300"/>
              <w:spacing w:after="0"/>
              <w:rPr>
                <w:sz w:val="20"/>
                <w:szCs w:val="20"/>
                <w:color w:val="auto"/>
              </w:rPr>
            </w:pPr>
            <w:r>
              <w:rPr>
                <w:rFonts w:ascii="Arial" w:cs="Arial" w:eastAsia="Arial" w:hAnsi="Arial"/>
                <w:sz w:val="14"/>
                <w:szCs w:val="14"/>
                <w:b w:val="1"/>
                <w:bCs w:val="1"/>
                <w:color w:val="auto"/>
                <w:w w:val="91"/>
              </w:rPr>
              <w:t>3200 Southwest Freeway, Suite 2500</w:t>
            </w:r>
          </w:p>
        </w:tc>
        <w:tc>
          <w:tcPr>
            <w:tcW w:w="160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77027</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40" w:type="dxa"/>
            <w:vAlign w:val="bottom"/>
            <w:gridSpan w:val="3"/>
          </w:tcPr>
          <w:p>
            <w:pPr>
              <w:jc w:val="center"/>
              <w:ind w:left="166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80" w:type="dxa"/>
            <w:vAlign w:val="bottom"/>
            <w:gridSpan w:val="8"/>
          </w:tcPr>
          <w:p>
            <w:pPr>
              <w:jc w:val="center"/>
              <w:ind w:right="1320"/>
              <w:spacing w:after="0"/>
              <w:rPr>
                <w:sz w:val="20"/>
                <w:szCs w:val="20"/>
                <w:color w:val="auto"/>
              </w:rPr>
            </w:pPr>
            <w:r>
              <w:rPr>
                <w:rFonts w:ascii="Arial" w:cs="Arial" w:eastAsia="Arial" w:hAnsi="Arial"/>
                <w:sz w:val="14"/>
                <w:szCs w:val="14"/>
                <w:color w:val="auto"/>
                <w:w w:val="95"/>
              </w:rPr>
              <w:t>(Address of principal executive offices)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4"/>
                <w:szCs w:val="14"/>
                <w:color w:val="auto"/>
                <w:w w:val="95"/>
              </w:rPr>
              <w:t>(Zip code)</w:t>
            </w:r>
          </w:p>
        </w:tc>
        <w:tc>
          <w:tcPr>
            <w:tcW w:w="0" w:type="dxa"/>
            <w:vAlign w:val="bottom"/>
          </w:tcPr>
          <w:p>
            <w:pPr>
              <w:spacing w:after="0"/>
              <w:rPr>
                <w:sz w:val="1"/>
                <w:szCs w:val="1"/>
                <w:color w:val="auto"/>
              </w:rPr>
            </w:pPr>
          </w:p>
        </w:tc>
      </w:tr>
      <w:tr>
        <w:trPr>
          <w:trHeight w:val="215"/>
        </w:trPr>
        <w:tc>
          <w:tcPr>
            <w:tcW w:w="3640" w:type="dxa"/>
            <w:vAlign w:val="bottom"/>
            <w:gridSpan w:val="3"/>
            <w:vMerge w:val="restart"/>
          </w:tcPr>
          <w:p>
            <w:pPr>
              <w:spacing w:after="0"/>
              <w:rPr>
                <w:sz w:val="20"/>
                <w:szCs w:val="20"/>
                <w:color w:val="auto"/>
              </w:rPr>
            </w:pPr>
            <w:r>
              <w:rPr>
                <w:rFonts w:ascii="Arial" w:cs="Arial" w:eastAsia="Arial" w:hAnsi="Arial"/>
                <w:sz w:val="14"/>
                <w:szCs w:val="14"/>
                <w:color w:val="auto"/>
              </w:rPr>
              <w:t>(Telephone Number)</w:t>
            </w:r>
          </w:p>
        </w:tc>
        <w:tc>
          <w:tcPr>
            <w:tcW w:w="30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(713) 400-6400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4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bottom w:val="single" w:sz="8" w:color="auto"/>
              <w:right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Title of each class</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Trading Symbol(s)</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344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bottom w:val="single" w:sz="8" w:color="auto"/>
              <w:right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Common Stock, par value $0.001 per share</w:t>
            </w:r>
          </w:p>
        </w:tc>
        <w:tc>
          <w:tcPr>
            <w:tcW w:w="3040" w:type="dxa"/>
            <w:vAlign w:val="bottom"/>
            <w:tcBorders>
              <w:bottom w:val="single" w:sz="8" w:color="auto"/>
              <w:right w:val="single" w:sz="8" w:color="auto"/>
            </w:tcBorders>
            <w:gridSpan w:val="5"/>
          </w:tcPr>
          <w:p>
            <w:pPr>
              <w:ind w:left="60"/>
              <w:spacing w:after="0" w:line="142" w:lineRule="exact"/>
              <w:rPr>
                <w:sz w:val="20"/>
                <w:szCs w:val="20"/>
                <w:color w:val="auto"/>
              </w:rPr>
            </w:pPr>
            <w:r>
              <w:rPr>
                <w:rFonts w:ascii="Arial" w:cs="Arial" w:eastAsia="Arial" w:hAnsi="Arial"/>
                <w:sz w:val="14"/>
                <w:szCs w:val="14"/>
                <w:color w:val="auto"/>
              </w:rPr>
              <w:t>MRKR</w:t>
            </w:r>
          </w:p>
        </w:tc>
        <w:tc>
          <w:tcPr>
            <w:tcW w:w="354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6485255</wp:posOffset>
            </wp:positionH>
            <wp:positionV relativeFrom="paragraph">
              <wp:posOffset>-222250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-222250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-222250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-222250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-222250</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38" w:lineRule="exact"/>
        <w:rPr>
          <w:sz w:val="24"/>
          <w:szCs w:val="24"/>
          <w:color w:val="auto"/>
        </w:rPr>
      </w:pPr>
    </w:p>
    <w:p>
      <w:pPr>
        <w:ind w:left="6"/>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u w:val="single" w:color="auto"/>
          <w:color w:val="auto"/>
        </w:rPr>
        <w:t>None</w:t>
      </w:r>
    </w:p>
    <w:p>
      <w:pPr>
        <w:spacing w:after="0" w:line="45" w:lineRule="exact"/>
        <w:rPr>
          <w:sz w:val="24"/>
          <w:szCs w:val="24"/>
          <w:color w:val="auto"/>
        </w:rPr>
      </w:pPr>
    </w:p>
    <w:p>
      <w:pPr>
        <w:ind w:left="6" w:right="248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highlight w:val="black"/>
        </w:rPr>
        <w:t>⌧</w:t>
      </w:r>
      <w:r>
        <w:rPr>
          <w:rFonts w:ascii="Arial" w:cs="Arial" w:eastAsia="Arial" w:hAnsi="Arial"/>
          <w:sz w:val="13"/>
          <w:szCs w:val="13"/>
          <w:color w:val="auto"/>
        </w:rPr>
        <w:t xml:space="preserve"> Indicate by check mark if the registrant is not required to file reports pursuant to Section 13 of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highlight w:val="black"/>
        </w:rPr>
        <w:t>⌧</w:t>
      </w:r>
    </w:p>
    <w:p>
      <w:pPr>
        <w:spacing w:after="0" w:line="32" w:lineRule="exact"/>
        <w:rPr>
          <w:sz w:val="24"/>
          <w:szCs w:val="24"/>
          <w:color w:val="auto"/>
        </w:rPr>
      </w:pPr>
    </w:p>
    <w:p>
      <w:pPr>
        <w:jc w:val="both"/>
        <w:ind w:left="6"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highlight w:val="black"/>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highlight w:val="black"/>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jc w:val="both"/>
        <w:ind w:left="6"/>
        <w:spacing w:after="0" w:line="290" w:lineRule="auto"/>
        <w:rPr>
          <w:sz w:val="20"/>
          <w:szCs w:val="20"/>
          <w:color w:val="auto"/>
        </w:rPr>
      </w:pPr>
      <w:r>
        <w:rPr>
          <w:rFonts w:ascii="Arial" w:cs="Arial" w:eastAsia="Arial" w:hAnsi="Arial"/>
          <w:sz w:val="13"/>
          <w:szCs w:val="13"/>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026" w:type="dxa"/>
        <w:tblCellMar>
          <w:top w:w="0" w:type="dxa"/>
          <w:left w:w="0" w:type="dxa"/>
          <w:bottom w:w="0" w:type="dxa"/>
          <w:right w:w="0" w:type="dxa"/>
        </w:tblCellMar>
      </w:tblPr>
      <w:tr>
        <w:trPr>
          <w:trHeight w:val="188"/>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8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340" w:type="dxa"/>
            <w:vAlign w:val="bottom"/>
          </w:tcPr>
          <w:p>
            <w:pPr>
              <w:ind w:left="240"/>
              <w:spacing w:after="0"/>
              <w:rPr>
                <w:sz w:val="20"/>
                <w:szCs w:val="20"/>
                <w:color w:val="auto"/>
              </w:rPr>
            </w:pPr>
            <w:r>
              <w:rPr>
                <w:rFonts w:ascii="Arial" w:cs="Arial" w:eastAsia="Arial" w:hAnsi="Arial"/>
                <w:sz w:val="14"/>
                <w:szCs w:val="14"/>
                <w:color w:val="auto"/>
              </w:rPr>
              <w:t>Accelerated filer</w:t>
            </w:r>
          </w:p>
        </w:tc>
        <w:tc>
          <w:tcPr>
            <w:tcW w:w="1660" w:type="dxa"/>
            <w:vAlign w:val="bottom"/>
          </w:tcPr>
          <w:p>
            <w:pPr>
              <w:ind w:left="1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1080" w:type="dxa"/>
            <w:vAlign w:val="bottom"/>
          </w:tcPr>
          <w:p>
            <w:pPr>
              <w:ind w:left="66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340" w:type="dxa"/>
            <w:vAlign w:val="bottom"/>
          </w:tcPr>
          <w:p>
            <w:pPr>
              <w:ind w:left="240"/>
              <w:spacing w:after="0"/>
              <w:rPr>
                <w:sz w:val="20"/>
                <w:szCs w:val="20"/>
                <w:color w:val="auto"/>
              </w:rPr>
            </w:pPr>
            <w:r>
              <w:rPr>
                <w:rFonts w:ascii="Arial" w:cs="Arial" w:eastAsia="Arial" w:hAnsi="Arial"/>
                <w:sz w:val="14"/>
                <w:szCs w:val="14"/>
                <w:color w:val="auto"/>
              </w:rPr>
              <w:t>Smaller reporting company</w:t>
            </w:r>
          </w:p>
        </w:tc>
        <w:tc>
          <w:tcPr>
            <w:tcW w:w="1660" w:type="dxa"/>
            <w:vAlign w:val="bottom"/>
          </w:tcPr>
          <w:p>
            <w:pPr>
              <w:ind w:left="15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4"/>
                <w:szCs w:val="14"/>
                <w:color w:val="auto"/>
              </w:rPr>
              <w:t>Emerging growth company</w:t>
            </w:r>
          </w:p>
        </w:tc>
        <w:tc>
          <w:tcPr>
            <w:tcW w:w="1660" w:type="dxa"/>
            <w:vAlign w:val="bottom"/>
          </w:tcPr>
          <w:p>
            <w:pPr>
              <w:ind w:left="1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5"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jc w:val="both"/>
        <w:ind w:left="6"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6"/>
        <w:spacing w:after="0" w:line="188" w:lineRule="exact"/>
        <w:rPr>
          <w:sz w:val="20"/>
          <w:szCs w:val="20"/>
          <w:color w:val="auto"/>
        </w:rPr>
      </w:pPr>
      <w:r>
        <w:rPr>
          <w:rFonts w:ascii="Arial" w:cs="Arial" w:eastAsia="Arial" w:hAnsi="Arial"/>
          <w:sz w:val="14"/>
          <w:szCs w:val="14"/>
          <w:color w:val="auto"/>
        </w:rPr>
        <w:t xml:space="preserve">Indicate by checkmark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highlight w:val="black"/>
        </w:rPr>
        <w:t>☒</w:t>
      </w:r>
    </w:p>
    <w:p>
      <w:pPr>
        <w:spacing w:after="0" w:line="69" w:lineRule="exact"/>
        <w:rPr>
          <w:sz w:val="24"/>
          <w:szCs w:val="24"/>
          <w:color w:val="auto"/>
        </w:rPr>
      </w:pPr>
    </w:p>
    <w:p>
      <w:pPr>
        <w:jc w:val="both"/>
        <w:ind w:left="6" w:right="20"/>
        <w:spacing w:after="0" w:line="29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2021 (the last day of the registrant’s most recently completed second fiscal quarter) based on the closing sale price of $2.79 as reported on the Nasdaq Capital Market as of that date was approximately $164,300,000.</w:t>
      </w:r>
    </w:p>
    <w:p>
      <w:pPr>
        <w:spacing w:after="0" w:line="3" w:lineRule="exact"/>
        <w:rPr>
          <w:sz w:val="24"/>
          <w:szCs w:val="24"/>
          <w:color w:val="auto"/>
        </w:rPr>
      </w:pPr>
    </w:p>
    <w:p>
      <w:pPr>
        <w:ind w:left="6"/>
        <w:spacing w:after="0"/>
        <w:rPr>
          <w:sz w:val="20"/>
          <w:szCs w:val="20"/>
          <w:color w:val="auto"/>
        </w:rPr>
      </w:pPr>
      <w:r>
        <w:rPr>
          <w:rFonts w:ascii="Arial" w:cs="Arial" w:eastAsia="Arial" w:hAnsi="Arial"/>
          <w:sz w:val="14"/>
          <w:szCs w:val="14"/>
          <w:color w:val="auto"/>
        </w:rPr>
        <w:t>The registrant had 83,078,675 shares of common stock outstanding as of March 1, 2022.</w:t>
      </w:r>
    </w:p>
    <w:p>
      <w:pPr>
        <w:spacing w:after="0" w:line="65" w:lineRule="exact"/>
        <w:rPr>
          <w:sz w:val="24"/>
          <w:szCs w:val="24"/>
          <w:color w:val="auto"/>
        </w:rPr>
      </w:pPr>
    </w:p>
    <w:p>
      <w:pPr>
        <w:ind w:left="3906"/>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both"/>
        <w:ind w:left="6"/>
        <w:spacing w:after="0" w:line="233" w:lineRule="auto"/>
        <w:rPr>
          <w:sz w:val="20"/>
          <w:szCs w:val="20"/>
          <w:color w:val="auto"/>
        </w:rPr>
      </w:pPr>
      <w:r>
        <w:rPr>
          <w:rFonts w:ascii="Arial" w:cs="Arial" w:eastAsia="Arial" w:hAnsi="Arial"/>
          <w:sz w:val="14"/>
          <w:szCs w:val="14"/>
          <w:color w:val="auto"/>
        </w:rPr>
        <w:t>Portions of the registrant’s proxy statement relating to registrant’s 2022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463550</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86360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80" w:type="dxa"/>
            <w:vAlign w:val="bottom"/>
            <w:gridSpan w:val="3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8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gridSpan w:val="8"/>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740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280" w:type="dxa"/>
            <w:vAlign w:val="bottom"/>
            <w:gridSpan w:val="8"/>
            <w:vMerge w:val="continue"/>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760" w:type="dxa"/>
            <w:vAlign w:val="bottom"/>
            <w:gridSpan w:val="6"/>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6780" w:type="dxa"/>
            <w:vAlign w:val="bottom"/>
            <w:gridSpan w:val="2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1a.</w:t>
              </w:r>
            </w:hyperlink>
          </w:p>
        </w:tc>
        <w:tc>
          <w:tcPr>
            <w:tcW w:w="660" w:type="dxa"/>
            <w:vAlign w:val="bottom"/>
            <w:gridSpan w:val="2"/>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81"/>
              </w:rPr>
            </w:pPr>
            <w:hyperlink w:anchor="page43">
              <w:r>
                <w:rPr>
                  <w:rFonts w:ascii="Arial" w:cs="Arial" w:eastAsia="Arial" w:hAnsi="Arial"/>
                  <w:sz w:val="18"/>
                  <w:szCs w:val="18"/>
                  <w:color w:val="0000EE"/>
                  <w:w w:val="81"/>
                </w:rPr>
                <w:t>Risk Factors</w:t>
              </w:r>
            </w:hyperlink>
          </w:p>
        </w:tc>
        <w:tc>
          <w:tcPr>
            <w:tcW w:w="6560" w:type="dxa"/>
            <w:vAlign w:val="bottom"/>
            <w:gridSpan w:val="2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Item 1b.</w:t>
              </w:r>
            </w:hyperlink>
          </w:p>
        </w:tc>
        <w:tc>
          <w:tcPr>
            <w:tcW w:w="660" w:type="dxa"/>
            <w:vAlign w:val="bottom"/>
            <w:gridSpan w:val="2"/>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Unresolved Staff Comments</w:t>
              </w:r>
            </w:hyperlink>
          </w:p>
        </w:tc>
        <w:tc>
          <w:tcPr>
            <w:tcW w:w="542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2.</w:t>
              </w:r>
            </w:hyperlink>
          </w:p>
        </w:tc>
        <w:tc>
          <w:tcPr>
            <w:tcW w:w="760" w:type="dxa"/>
            <w:vAlign w:val="bottom"/>
            <w:gridSpan w:val="6"/>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81">
              <w:r>
                <w:rPr>
                  <w:rFonts w:ascii="Arial" w:cs="Arial" w:eastAsia="Arial" w:hAnsi="Arial"/>
                  <w:sz w:val="18"/>
                  <w:szCs w:val="18"/>
                  <w:color w:val="0000EE"/>
                  <w:w w:val="82"/>
                </w:rPr>
                <w:t>Properties</w:t>
              </w:r>
            </w:hyperlink>
          </w:p>
        </w:tc>
        <w:tc>
          <w:tcPr>
            <w:tcW w:w="6700" w:type="dxa"/>
            <w:vAlign w:val="bottom"/>
            <w:gridSpan w:val="2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Item 3.</w:t>
              </w:r>
            </w:hyperlink>
          </w:p>
        </w:tc>
        <w:tc>
          <w:tcPr>
            <w:tcW w:w="760" w:type="dxa"/>
            <w:vAlign w:val="bottom"/>
            <w:gridSpan w:val="6"/>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Legal Proceedings</w:t>
              </w:r>
            </w:hyperlink>
          </w:p>
        </w:tc>
        <w:tc>
          <w:tcPr>
            <w:tcW w:w="610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Item 4.</w:t>
              </w:r>
            </w:hyperlink>
          </w:p>
        </w:tc>
        <w:tc>
          <w:tcPr>
            <w:tcW w:w="760" w:type="dxa"/>
            <w:vAlign w:val="bottom"/>
            <w:gridSpan w:val="6"/>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Mine Safety Disclosure</w:t>
              </w:r>
            </w:hyperlink>
          </w:p>
        </w:tc>
        <w:tc>
          <w:tcPr>
            <w:tcW w:w="572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w:t>
              </w:r>
            </w:hyperlink>
          </w:p>
        </w:tc>
        <w:tc>
          <w:tcPr>
            <w:tcW w:w="7400" w:type="dxa"/>
            <w:vAlign w:val="bottom"/>
            <w:gridSpan w:val="26"/>
            <w:vMerge w:val="restart"/>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Market For Registrant’s Common Equity, Related Stockholder Matters And Issuer Purchases Of Equity</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gridSpan w:val="26"/>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5.</w:t>
              </w:r>
            </w:hyperlink>
          </w:p>
        </w:tc>
        <w:tc>
          <w:tcPr>
            <w:tcW w:w="760" w:type="dxa"/>
            <w:vAlign w:val="bottom"/>
            <w:gridSpan w:val="6"/>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83">
              <w:r>
                <w:rPr>
                  <w:rFonts w:ascii="Arial" w:cs="Arial" w:eastAsia="Arial" w:hAnsi="Arial"/>
                  <w:sz w:val="18"/>
                  <w:szCs w:val="18"/>
                  <w:color w:val="0000EE"/>
                  <w:w w:val="83"/>
                </w:rPr>
                <w:t>Securities</w:t>
              </w:r>
            </w:hyperlink>
          </w:p>
        </w:tc>
        <w:tc>
          <w:tcPr>
            <w:tcW w:w="670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sz w:val="20"/>
                <w:szCs w:val="20"/>
                <w:color w:val="auto"/>
              </w:rPr>
            </w:pPr>
            <w:r>
              <w:rPr>
                <w:rFonts w:ascii="Arial" w:cs="Arial" w:eastAsia="Arial" w:hAnsi="Arial"/>
                <w:sz w:val="18"/>
                <w:szCs w:val="18"/>
                <w:color w:val="0000EE"/>
                <w:w w:val="90"/>
              </w:rPr>
              <w:t>Item 6.</w:t>
            </w:r>
          </w:p>
        </w:tc>
        <w:tc>
          <w:tcPr>
            <w:tcW w:w="760" w:type="dxa"/>
            <w:vAlign w:val="bottom"/>
            <w:gridSpan w:val="6"/>
          </w:tcPr>
          <w:p>
            <w:pPr>
              <w:spacing w:after="0"/>
              <w:rPr>
                <w:sz w:val="17"/>
                <w:szCs w:val="17"/>
                <w:color w:val="auto"/>
              </w:rPr>
            </w:pPr>
          </w:p>
        </w:tc>
        <w:tc>
          <w:tcPr>
            <w:tcW w:w="7400" w:type="dxa"/>
            <w:vAlign w:val="bottom"/>
            <w:gridSpan w:val="2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[Reserved]</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Item 7.</w:t>
              </w:r>
            </w:hyperlink>
          </w:p>
        </w:tc>
        <w:tc>
          <w:tcPr>
            <w:tcW w:w="760" w:type="dxa"/>
            <w:vAlign w:val="bottom"/>
            <w:gridSpan w:val="6"/>
          </w:tcPr>
          <w:p>
            <w:pPr>
              <w:spacing w:after="0"/>
              <w:rPr>
                <w:sz w:val="17"/>
                <w:szCs w:val="17"/>
                <w:color w:val="auto"/>
              </w:rPr>
            </w:pPr>
          </w:p>
        </w:tc>
        <w:tc>
          <w:tcPr>
            <w:tcW w:w="66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Management’s Discussion And Analysis Of Financial Condition And Results Of Operations</w:t>
              </w:r>
            </w:hyperlink>
          </w:p>
        </w:tc>
        <w:tc>
          <w:tcPr>
            <w:tcW w:w="7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95">
              <w:r>
                <w:rPr>
                  <w:rFonts w:ascii="Arial" w:cs="Arial" w:eastAsia="Arial" w:hAnsi="Arial"/>
                  <w:sz w:val="18"/>
                  <w:szCs w:val="18"/>
                  <w:color w:val="0000EE"/>
                  <w:w w:val="95"/>
                </w:rPr>
                <w:t>Item 7a.</w:t>
              </w:r>
            </w:hyperlink>
          </w:p>
        </w:tc>
        <w:tc>
          <w:tcPr>
            <w:tcW w:w="640" w:type="dxa"/>
            <w:vAlign w:val="bottom"/>
          </w:tcPr>
          <w:p>
            <w:pPr>
              <w:spacing w:after="0"/>
              <w:rPr>
                <w:sz w:val="17"/>
                <w:szCs w:val="17"/>
                <w:color w:val="auto"/>
              </w:rPr>
            </w:pPr>
          </w:p>
        </w:tc>
        <w:tc>
          <w:tcPr>
            <w:tcW w:w="43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Quantitative And Qualitative Disclosures About Market Risk</w:t>
              </w:r>
            </w:hyperlink>
          </w:p>
        </w:tc>
        <w:tc>
          <w:tcPr>
            <w:tcW w:w="302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Item 8.</w:t>
              </w:r>
            </w:hyperlink>
          </w:p>
        </w:tc>
        <w:tc>
          <w:tcPr>
            <w:tcW w:w="760" w:type="dxa"/>
            <w:vAlign w:val="bottom"/>
            <w:gridSpan w:val="6"/>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Financial Statements</w:t>
              </w:r>
            </w:hyperlink>
          </w:p>
        </w:tc>
        <w:tc>
          <w:tcPr>
            <w:tcW w:w="592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Item 9.</w:t>
              </w:r>
            </w:hyperlink>
          </w:p>
        </w:tc>
        <w:tc>
          <w:tcPr>
            <w:tcW w:w="760" w:type="dxa"/>
            <w:vAlign w:val="bottom"/>
            <w:gridSpan w:val="6"/>
          </w:tcPr>
          <w:p>
            <w:pPr>
              <w:spacing w:after="0"/>
              <w:rPr>
                <w:sz w:val="17"/>
                <w:szCs w:val="17"/>
                <w:color w:val="auto"/>
              </w:rPr>
            </w:pPr>
          </w:p>
        </w:tc>
        <w:tc>
          <w:tcPr>
            <w:tcW w:w="66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Changes In And Disagreements With Accountants On Accounting And Financial Disclosure</w:t>
              </w:r>
            </w:hyperlink>
          </w:p>
        </w:tc>
        <w:tc>
          <w:tcPr>
            <w:tcW w:w="7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640" w:type="dxa"/>
            <w:vAlign w:val="bottom"/>
            <w:gridSpan w:val="7"/>
          </w:tcPr>
          <w:p>
            <w:pPr>
              <w:spacing w:after="0" w:line="196" w:lineRule="exact"/>
              <w:rPr>
                <w:rFonts w:ascii="Arial" w:cs="Arial" w:eastAsia="Arial" w:hAnsi="Arial"/>
                <w:sz w:val="18"/>
                <w:szCs w:val="18"/>
                <w:color w:val="0000EE"/>
                <w:w w:val="95"/>
              </w:rPr>
            </w:pPr>
            <w:hyperlink w:anchor="page95">
              <w:r>
                <w:rPr>
                  <w:rFonts w:ascii="Arial" w:cs="Arial" w:eastAsia="Arial" w:hAnsi="Arial"/>
                  <w:sz w:val="18"/>
                  <w:szCs w:val="18"/>
                  <w:color w:val="0000EE"/>
                  <w:w w:val="95"/>
                </w:rPr>
                <w:t>Item 9a.</w:t>
              </w:r>
            </w:hyperlink>
          </w:p>
        </w:tc>
        <w:tc>
          <w:tcPr>
            <w:tcW w:w="640" w:type="dxa"/>
            <w:vAlign w:val="bottom"/>
          </w:tcPr>
          <w:p>
            <w:pPr>
              <w:spacing w:after="0"/>
              <w:rPr>
                <w:sz w:val="17"/>
                <w:szCs w:val="17"/>
                <w:color w:val="auto"/>
              </w:rPr>
            </w:pPr>
          </w:p>
        </w:tc>
        <w:tc>
          <w:tcPr>
            <w:tcW w:w="7400" w:type="dxa"/>
            <w:vAlign w:val="bottom"/>
            <w:gridSpan w:val="2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Item 9b.</w:t>
              </w:r>
            </w:hyperlink>
          </w:p>
        </w:tc>
        <w:tc>
          <w:tcPr>
            <w:tcW w:w="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Other Information</w:t>
              </w:r>
            </w:hyperlink>
          </w:p>
        </w:tc>
        <w:tc>
          <w:tcPr>
            <w:tcW w:w="460" w:type="dxa"/>
            <w:vAlign w:val="bottom"/>
            <w:tcBorders>
              <w:top w:val="single" w:sz="8" w:color="0000EE"/>
            </w:tcBorders>
            <w:gridSpan w:val="5"/>
          </w:tcPr>
          <w:p>
            <w:pPr>
              <w:spacing w:after="0"/>
              <w:rPr>
                <w:sz w:val="17"/>
                <w:szCs w:val="17"/>
                <w:color w:val="auto"/>
              </w:rPr>
            </w:pPr>
          </w:p>
        </w:tc>
        <w:tc>
          <w:tcPr>
            <w:tcW w:w="566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560" w:type="dxa"/>
            <w:vAlign w:val="bottom"/>
            <w:gridSpan w:val="4"/>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Item 9c</w:t>
              </w:r>
            </w:hyperlink>
          </w:p>
        </w:tc>
        <w:tc>
          <w:tcPr>
            <w:tcW w:w="720" w:type="dxa"/>
            <w:vAlign w:val="bottom"/>
            <w:gridSpan w:val="4"/>
          </w:tcPr>
          <w:p>
            <w:pPr>
              <w:spacing w:after="0"/>
              <w:rPr>
                <w:sz w:val="17"/>
                <w:szCs w:val="17"/>
                <w:color w:val="auto"/>
              </w:rPr>
            </w:pPr>
          </w:p>
        </w:tc>
        <w:tc>
          <w:tcPr>
            <w:tcW w:w="7400" w:type="dxa"/>
            <w:vAlign w:val="bottom"/>
            <w:gridSpan w:val="2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Disclosure Regarding Foreign Jurisdictions that Prevent Inspections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III</w:t>
              </w:r>
            </w:hyperlink>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Item 10.</w:t>
              </w:r>
            </w:hyperlink>
          </w:p>
        </w:tc>
        <w:tc>
          <w:tcPr>
            <w:tcW w:w="660" w:type="dxa"/>
            <w:vAlign w:val="bottom"/>
            <w:gridSpan w:val="2"/>
          </w:tcPr>
          <w:p>
            <w:pPr>
              <w:spacing w:after="0"/>
              <w:rPr>
                <w:sz w:val="17"/>
                <w:szCs w:val="17"/>
                <w:color w:val="auto"/>
              </w:rPr>
            </w:pPr>
          </w:p>
        </w:tc>
        <w:tc>
          <w:tcPr>
            <w:tcW w:w="41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Directors, Executive Officers And Corporate Governance</w:t>
              </w:r>
            </w:hyperlink>
          </w:p>
        </w:tc>
        <w:tc>
          <w:tcPr>
            <w:tcW w:w="328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97">
              <w:r>
                <w:rPr>
                  <w:rFonts w:ascii="Arial" w:cs="Arial" w:eastAsia="Arial" w:hAnsi="Arial"/>
                  <w:sz w:val="18"/>
                  <w:szCs w:val="18"/>
                  <w:color w:val="0000EE"/>
                  <w:w w:val="95"/>
                </w:rPr>
                <w:t>Item 11.</w:t>
              </w:r>
            </w:hyperlink>
          </w:p>
        </w:tc>
        <w:tc>
          <w:tcPr>
            <w:tcW w:w="64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Executive Compensation</w:t>
              </w:r>
            </w:hyperlink>
          </w:p>
        </w:tc>
        <w:tc>
          <w:tcPr>
            <w:tcW w:w="562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97">
              <w:r>
                <w:rPr>
                  <w:rFonts w:ascii="Arial" w:cs="Arial" w:eastAsia="Arial" w:hAnsi="Arial"/>
                  <w:sz w:val="18"/>
                  <w:szCs w:val="18"/>
                  <w:color w:val="0000EE"/>
                  <w:w w:val="95"/>
                </w:rPr>
                <w:t>Item 12.</w:t>
              </w:r>
            </w:hyperlink>
          </w:p>
        </w:tc>
        <w:tc>
          <w:tcPr>
            <w:tcW w:w="640" w:type="dxa"/>
            <w:vAlign w:val="bottom"/>
          </w:tcPr>
          <w:p>
            <w:pPr>
              <w:spacing w:after="0"/>
              <w:rPr>
                <w:sz w:val="17"/>
                <w:szCs w:val="17"/>
                <w:color w:val="auto"/>
              </w:rPr>
            </w:pPr>
          </w:p>
        </w:tc>
        <w:tc>
          <w:tcPr>
            <w:tcW w:w="74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Security Ownership Of Certain Beneficial Owners And Management And Related Stockholder Matters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97">
              <w:r>
                <w:rPr>
                  <w:rFonts w:ascii="Arial" w:cs="Arial" w:eastAsia="Arial" w:hAnsi="Arial"/>
                  <w:sz w:val="18"/>
                  <w:szCs w:val="18"/>
                  <w:color w:val="0000EE"/>
                  <w:w w:val="95"/>
                </w:rPr>
                <w:t>Item 13.</w:t>
              </w:r>
            </w:hyperlink>
          </w:p>
        </w:tc>
        <w:tc>
          <w:tcPr>
            <w:tcW w:w="640" w:type="dxa"/>
            <w:vAlign w:val="bottom"/>
          </w:tcPr>
          <w:p>
            <w:pPr>
              <w:spacing w:after="0"/>
              <w:rPr>
                <w:sz w:val="17"/>
                <w:szCs w:val="17"/>
                <w:color w:val="auto"/>
              </w:rPr>
            </w:pPr>
          </w:p>
        </w:tc>
        <w:tc>
          <w:tcPr>
            <w:tcW w:w="55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Certain Relationships And Related Transactions, And Director Independence</w:t>
              </w:r>
            </w:hyperlink>
          </w:p>
        </w:tc>
        <w:tc>
          <w:tcPr>
            <w:tcW w:w="18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Item 14.</w:t>
              </w:r>
            </w:hyperlink>
          </w:p>
        </w:tc>
        <w:tc>
          <w:tcPr>
            <w:tcW w:w="660" w:type="dxa"/>
            <w:vAlign w:val="bottom"/>
            <w:gridSpan w:val="2"/>
          </w:tcPr>
          <w:p>
            <w:pPr>
              <w:spacing w:after="0"/>
              <w:rPr>
                <w:sz w:val="17"/>
                <w:szCs w:val="17"/>
                <w:color w:val="auto"/>
              </w:rPr>
            </w:pPr>
          </w:p>
        </w:tc>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Principal Accounting Fees And Services</w:t>
              </w:r>
            </w:hyperlink>
          </w:p>
        </w:tc>
        <w:tc>
          <w:tcPr>
            <w:tcW w:w="45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IV</w:t>
              </w:r>
            </w:hyperlink>
          </w:p>
        </w:tc>
        <w:tc>
          <w:tcPr>
            <w:tcW w:w="6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Item 15.</w:t>
              </w:r>
            </w:hyperlink>
          </w:p>
        </w:tc>
        <w:tc>
          <w:tcPr>
            <w:tcW w:w="64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Exhibits, Financial Statement Schedules</w:t>
              </w:r>
            </w:hyperlink>
          </w:p>
        </w:tc>
        <w:tc>
          <w:tcPr>
            <w:tcW w:w="452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Item 16.</w:t>
              </w:r>
            </w:hyperlink>
          </w:p>
        </w:tc>
        <w:tc>
          <w:tcPr>
            <w:tcW w:w="64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Form 10-K Summary</w:t>
              </w:r>
            </w:hyperlink>
          </w:p>
        </w:tc>
        <w:tc>
          <w:tcPr>
            <w:tcW w:w="588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00"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79"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needs for or ability to obtain additional funding;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protect and enforce our intellectual property position for our product candidates, and the scope of such protection;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forward-looking statements. Such risks and uncertainties may be amplified by the COVID-19 pandemic and its potential impact on our business and the global economy.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 indications including lymphoma, multiple myeloma, acute myeloid leukemia, or AML, acute lymphoblastic leukemia, or ALL, pancreatic cancer, breast cancer and various sarcomas. In those studies, BCM saw evidence of clinical benefit, expansion of infused cells epitope spreading, and decreased toxicity compared to other cellular therapies.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three product candidates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or AML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we do not genetically engineer our MultiTAA-specific T cell therapies, we believe that our product candidates are superior to T cells engineered with chimeric antigen receptors, or CAR-T, for several reasons including:</w:t>
      </w:r>
    </w:p>
    <w:p>
      <w:pPr>
        <w:spacing w:after="0" w:line="170"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targets → enhanced tumoricidal effect→ minimized tumor immune escape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Epitope spreading → broad patient T cell expansion → durable endogenous antitumor immune response</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safety → no reported cytokine release syndrome (CRS) or other severe adverse effects (SAEs) in our clinical trials to date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Standard IV administration → outpatient treatment → enhanced accessibility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Non-engineered → reduced manufacturing complexity → lower cost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4149090" cy="2357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909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we believe our endogenous T cell receptor-based therapies may provide meaningful clinical benefit and safety to patients with both liquid and solid tumors. We are also developing innovative peptide-based immunotherapeutic vaccines for the treatment of metastatic solid tumors.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positioned ourselves to be in full control of our research and development and clinical manufacturing needs by establishing a fully validated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MT-401 for the Treatment of Post-Transplant AML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w:t>
      </w:r>
    </w:p>
    <w:p>
      <w:pPr>
        <w:spacing w:after="0" w:line="237" w:lineRule="exact"/>
        <w:rPr>
          <w:sz w:val="20"/>
          <w:szCs w:val="20"/>
          <w:color w:val="auto"/>
        </w:rPr>
      </w:pPr>
    </w:p>
    <w:p>
      <w:pPr>
        <w:jc w:val="both"/>
        <w:ind w:left="68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2020, the United States Food and Drug Administration, or the FDA, granted orphan drug designation to MT-401 (zedenoleucel), a multiTAA-specific T cell therapy that targets four TAAs, for the treatment of AML after receiving an allogeneic hematopoietic stem cell transplant, or HSCT.</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same MultiTAA-specific T cell therapy has been well tolerated in an ongoing Phase 1 clinical trial in AML and myelodysplastic syndrome, or MDS, conducted by our strategic partner Baylor College of Medicine, or BCM.</w:t>
      </w:r>
    </w:p>
    <w:p>
      <w:pPr>
        <w:spacing w:after="0" w:line="170"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reported in a 2021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Additionally, eight patients were treated for active disease that was resistant to salvage therapy post-HSCT with a median of five prior lines of therapy (range: four to 10).</w:t>
      </w:r>
    </w:p>
    <w:p>
      <w:pPr>
        <w:spacing w:after="0" w:line="170" w:lineRule="exact"/>
        <w:rPr>
          <w:sz w:val="20"/>
          <w:szCs w:val="20"/>
          <w:color w:val="auto"/>
        </w:rPr>
      </w:pPr>
    </w:p>
    <w:p>
      <w:pPr>
        <w:ind w:left="1340" w:right="40" w:hanging="333"/>
        <w:spacing w:after="0" w:line="323" w:lineRule="auto"/>
        <w:tabs>
          <w:tab w:leader="none" w:pos="1340" w:val="left"/>
        </w:tabs>
        <w:numPr>
          <w:ilvl w:val="0"/>
          <w:numId w:val="8"/>
        </w:numPr>
        <w:rPr>
          <w:rFonts w:ascii="Courier New" w:cs="Courier New" w:eastAsia="Courier New" w:hAnsi="Courier New"/>
          <w:sz w:val="16"/>
          <w:szCs w:val="16"/>
          <w:color w:val="auto"/>
        </w:rPr>
      </w:pPr>
      <w:r>
        <w:rPr>
          <w:rFonts w:ascii="Arial" w:cs="Arial" w:eastAsia="Arial" w:hAnsi="Arial"/>
          <w:sz w:val="16"/>
          <w:szCs w:val="16"/>
          <w:color w:val="auto"/>
        </w:rPr>
        <w:t>One of the eight patients crossed over from the adjuvant group, while two patients enrolled twice, but all three patients had active AML that failed another line of salvage therapy after their first MultiTAA-specific T cell infusion.</w:t>
      </w:r>
    </w:p>
    <w:p>
      <w:pPr>
        <w:spacing w:after="0" w:line="133" w:lineRule="exact"/>
        <w:rPr>
          <w:rFonts w:ascii="Courier New" w:cs="Courier New" w:eastAsia="Courier New" w:hAnsi="Courier New"/>
          <w:sz w:val="16"/>
          <w:szCs w:val="16"/>
          <w:color w:val="auto"/>
        </w:rPr>
      </w:pPr>
    </w:p>
    <w:p>
      <w:pPr>
        <w:ind w:left="1340" w:right="120" w:hanging="333"/>
        <w:spacing w:after="0" w:line="259" w:lineRule="auto"/>
        <w:tabs>
          <w:tab w:leader="none" w:pos="134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Two of the eight patients achieved objective responses, with one complete response and one partial response, with six patients continuing with stable disease.</w:t>
      </w:r>
    </w:p>
    <w:p>
      <w:pPr>
        <w:spacing w:after="0" w:line="184" w:lineRule="exact"/>
        <w:rPr>
          <w:rFonts w:ascii="Courier New" w:cs="Courier New" w:eastAsia="Courier New" w:hAnsi="Courier New"/>
          <w:sz w:val="18"/>
          <w:szCs w:val="18"/>
          <w:color w:val="auto"/>
        </w:rPr>
      </w:pPr>
    </w:p>
    <w:p>
      <w:pPr>
        <w:ind w:left="1340" w:right="280" w:hanging="333"/>
        <w:spacing w:after="0" w:line="259" w:lineRule="auto"/>
        <w:tabs>
          <w:tab w:leader="none" w:pos="134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We have observed evidence of a patient’s natural immune system participating in cancer killing (epitope spreading) after infusion of our MultiTAA-specific T cell therapy.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submitted an investigational new drug, or IND, application to the FDA, to conduct a Phase 2 clinical trial of MultiTAA-specific T cell therapy, which we refer to as MT-401 (zedenoleucel), in post-allogeneic HSCT patients with AML in both the adjuvant and active disease setting. The dose administered in this multicenter trial is currently 100 million cells every two weeks for three doses. In the adjuvant setting, patients will be randomized to either MultiTAA-specific T cell therapy or standard of care (observation) at approximately 90 days post-transplant, while the active disease patients will receive MT-401 following relapse post-transplant as part of a single-arm group.</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completed the safety lead-in portion of the trial in June 2021 and enrolled six patients with active disease: one measurable residual disease (MRD) positive patient and five frank relapse patients.</w:t>
      </w:r>
    </w:p>
    <w:p>
      <w:pPr>
        <w:spacing w:after="0" w:line="170" w:lineRule="exact"/>
        <w:rPr>
          <w:sz w:val="20"/>
          <w:szCs w:val="20"/>
          <w:color w:val="auto"/>
        </w:rPr>
      </w:pPr>
    </w:p>
    <w:p>
      <w:pPr>
        <w:jc w:val="both"/>
        <w:ind w:left="680" w:hanging="321"/>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Consistent with the results of the Phase 1 trial, there were no dose-limiting toxicities, cytokine release syndrome or neurotoxicity observed in this stage of the trial, and one MRD+ patient became MRD- after infusion of MT-401. Correlative studies showed that the patient saw significant expansion of infused MultiTAA-specific T cells in addition to extensive epitope spreading.</w:t>
      </w:r>
    </w:p>
    <w:p>
      <w:pPr>
        <w:spacing w:after="0" w:line="186"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initiated the remainder of the Phase 2 trial in July 2021 and have completed enrollment of approximately 20 patients, and we expect to report results from the active disease arm of the trial in the second quarter of 2022. We began manufacturing MT-401 for the Phase 2 trial at our cGMP manufacturing facility in the fourth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Off-the-shelf MT-401 (MT-401-OTS) for the Treatment of AML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expand our AML program with the development of MT-401-OTS, a scalable, off-the-shelf product candidate with the potential to provide treatment to patients in under three days. We intend to dose patients using “banked” products based on human leukocyte antigen matching. We believe our off-the-shelf platform has high scalability, where one donor has the potential to provide more than 100 patient products. Our open IND for MT-401 for the treatment of AML includes approval of an off-the-shelf program. We are in the process of developing our patient cell bank inventory and expect to dose the first patient in 2023. We expect to expand our off-the-shelf platform into clinical trials for other hematological malignancies and solid tumors.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MT-601 for the Treatment of Pancreatic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reported interim data for an ongoing Phase 1/2 clinical trial (TACTOPS) of the MultiTAA-specific 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recently began developing MultiTAA-specific T cells in pancreatic cancer with product manufactured with two additional antigens when compared to MT-401, to which we refer as MT-601, starting at a similar dose level used in the TACTOPS study. MT-601 is a MultiTAA-specific T cell product targeting six tumor-associated antigens which are highly expressed in pancreatic cancer. In January 2022, the FDA granted orphan drug designation to MT-601 for the treatment of patients with pancreatic cancer. We plan to submit 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 to the FDA in 2022 to initiate a Phase 1 multicenter clinical trial in 2023 in locally advanced, unresectable or metastatic pancreatic cancer to assess the safety and clinical efficacy of MT-601 in combination with front-line chemotherapy. We expect to enroll a total of approximately 40 patients and anticipate this trial will include both an antigen/dose escalation portion followed by a dose expansion portion, with a dose of 20 - 100 million cells every four weeks for up to six doses.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MT-601 for the Treatment of Lymphoma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pursuing the development of MT-601 for the treatment of lymphoma, and we plan to submit an IND to the FDA in 2022 to initiate a Phase 1 clinical trial in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Clinical Development of MultiTAA-Specific T Cell Therapies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evaluating the MultiTAA-specific T cell therapies in a Phase 2 clinical trial for the treatment of breast cancer and in Phase 1 clinical trials for the treatment of ALL, lymphoma, MM and sarcoma, all of which are being conducted by BCM. As of June 2021,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and the emergence of any new variant strains of COVID-19.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clinical trials investigating other indications in addition to our planned Phase 2 trial in post-transplant AML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5760720" cy="2983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Safety Lead-In Results from Phase 2 Clinical Trial of MT-401 (zedenoleucel) for the Treatment of Post-Transplant AML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we announced the initial results of the safety lead-in portion of our Phase 2 clinical trial of MT-401. Three patients were dosed with MT-401 manufactured with the legacy reagent used in the Phase 1 trial, and three patients were dosed with MT-401 manufactured using a new reagent from an alternative supplier. We anticipate using this supplier for clinical and commercial manufacturing of MT-401. We completed the safety lead-in portion of the trial in June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safety lead-in enrolled six patients with active disease: one MRD positive patient and five frank relapse patients. The initial results from the safety lead-in are as follows:</w:t>
      </w:r>
    </w:p>
    <w:p>
      <w:pPr>
        <w:spacing w:after="0" w:line="197" w:lineRule="exact"/>
        <w:rPr>
          <w:sz w:val="20"/>
          <w:szCs w:val="20"/>
          <w:color w:val="auto"/>
        </w:rPr>
      </w:pPr>
    </w:p>
    <w:p>
      <w:pPr>
        <w:ind w:left="680" w:right="20" w:hanging="321"/>
        <w:spacing w:after="0" w:line="30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dose limiting toxicities, cytokine release syndrome or neurotoxicity were observed. The results were consistent with the safety data observed in more than 150 patients treated in the Phase 1/2 studies at the Baylor College of Medicine;</w:t>
      </w:r>
    </w:p>
    <w:p>
      <w:pPr>
        <w:spacing w:after="0" w:line="38" w:lineRule="exact"/>
        <w:rPr>
          <w:rFonts w:ascii="Arial" w:cs="Arial" w:eastAsia="Arial" w:hAnsi="Arial"/>
          <w:sz w:val="17"/>
          <w:szCs w:val="17"/>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MRD+ patient became MRD- after infusion with MT-401;</w:t>
      </w:r>
    </w:p>
    <w:p>
      <w:pPr>
        <w:spacing w:after="0" w:line="117"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objective responses from the frank relapse patients; and</w:t>
      </w:r>
    </w:p>
    <w:p>
      <w:pPr>
        <w:spacing w:after="0" w:line="117"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Immuno-monitoring data indicate evidence of epitope spreading after infusion of MT-401 in the patient who converted from MRD+ to MRD-.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initiated the remainder of the Phase 2 trial in July 2021 and have completed enrollment of approximately 20 patients, and we expect to report results from the active disease arm of the trial in the second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MultiTAA-specific T cells are designed to enhance the capacity of non-engineered T cells to find and kill cancer by increasing the diversity and quantity of naturally occurring cancer killing T cells within the patient.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MultiTAA-specific T cell platform that we believe has the potential to significantly disrupt the current cell therapy landscape, while substantially improving survival and quality of life for patients with cancers.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strategy include:</w:t>
      </w:r>
    </w:p>
    <w:p>
      <w:pPr>
        <w:spacing w:after="0" w:line="22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Expedite clinical development, regulatory approval, and commercialization of our lead product candidates.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 results of the Phase 1 clinical trials of the MultiTAA-specific T cell therapies conducted at BCM, we plan to advance our lead product candidates into Phase 2 clinical trials and facilitate the initiation of company-sponsored clinical trials. We are pursuing post-transplant AML as the lead indication for the MultiTAA-specific T cell program. We completed the safety lead-in portion of our Phase 2 trial in post-transplant AML in June 2021 and initiated the remainder of the Phase 2 trial in July 2021.</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plan to initiate future additional clinical trials in other tumor types based on emerging data. Our current Good Manufacturing Practices, or cGMP, manufacturing facility in Houston, Texas is fully operational to support our clinical manufacturing. Before our new facility was operational, clinical product manufacturing was conducted at BCM’s GMP cell manufacturing facility.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hanging="332"/>
        <w:spacing w:after="0" w:line="277" w:lineRule="auto"/>
        <w:tabs>
          <w:tab w:leader="none" w:pos="286"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collaborate with our partners and increase our internal research and development activities to improve and develop adoptive cell therapy technologies.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a strategic alliance with BCM, pursuant to which we will sponsor selected research at BCM in support of our technology. In conjunction with this strategic alliance, BCM will conduct selected Phase 1 and Phase 2 clinical trials of our product candidates. If data from these early clinical trials are positive, we will consider the therapeutic and commercial potential for such therapies to be advanced as new product candidates for us.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plan to use BCM facilities and our company laboratories to enable the process development required to support the Phase 2 clinical trials of our product candidates. We have invested, and plan to continue to invest in our own research and development and chemistry, manufacturing and controls, or CMC, capabilities to enhance our ability to conduct process development to optimize our manufacturing process, product quality and commercial scalability. For instance, we developed and are implementing a new nine-day MultiTAA-specific T cell manufacturing process for our current Phase 2 AML trial as well as future clinical trials using a patient-specific manufacturing approach. The new manufacturing process marks additional manufacturing improvements compared to the processes used in the BCM Phase 1 and 2 trials (36-day manufacturing time) and the current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w:t>
      </w:r>
    </w:p>
    <w:p>
      <w:pPr>
        <w:spacing w:after="0" w:line="18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platform to maximize the beneficial outcomes for cancer patients.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87"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relationships with our founding institutions, scientific founders and other scientific advisors.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the Mayo Foundation and our other major institutional partners, to advance our therapies through the clinic and into commercialization.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History of Cancer Immunotherapies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Cell Therapy Overview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field of adoptive cell transfer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(helper)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observed evidence of “epitope spreading” in our clinical trials, suggesting that the MultiTAA-specific T cell therapy is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MultiTAA-Specific T Cell Therapies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collaboration with BCM, we are advancing three MultiTAA-specific T cell therapies through clinical development:</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Autologous MultiTAA-specific T cell therapies </w:t>
      </w:r>
      <w:r>
        <w:rPr>
          <w:rFonts w:ascii="Arial" w:cs="Arial" w:eastAsia="Arial" w:hAnsi="Arial"/>
          <w:sz w:val="18"/>
          <w:szCs w:val="18"/>
          <w:color w:val="auto"/>
        </w:rPr>
        <w:t>target the NY-ESO-1, PRAME, MAGE-A4, Survivin and SSX2 antigens.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reported updated clinical data from BCM’s Phase 1/2 clinical trial of the autologous MultiTAA therapy for the treatment of patients with pancreatic cancer, and we are currently evaluating these therapies for the treatment of patients with lymphoma, MM and other selected solid tumors in Phase 1 trials.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Allogeneic MultiTAA-specific T cell therapies </w:t>
      </w:r>
      <w:r>
        <w:rPr>
          <w:rFonts w:ascii="Arial" w:cs="Arial" w:eastAsia="Arial" w:hAnsi="Arial"/>
          <w:sz w:val="18"/>
          <w:szCs w:val="18"/>
          <w:color w:val="auto"/>
        </w:rPr>
        <w:t>target the WT1, NY-ESO-1, PRAME, and Survivin antigens. The stem cell</w:t>
      </w:r>
      <w:r>
        <w:rPr>
          <w:rFonts w:ascii="Arial" w:cs="Arial" w:eastAsia="Arial" w:hAnsi="Arial"/>
          <w:sz w:val="18"/>
          <w:szCs w:val="18"/>
          <w:i w:val="1"/>
          <w:iCs w:val="1"/>
          <w:color w:val="auto"/>
        </w:rPr>
        <w:t xml:space="preserve"> </w:t>
      </w:r>
      <w:r>
        <w:rPr>
          <w:rFonts w:ascii="Arial" w:cs="Arial" w:eastAsia="Arial" w:hAnsi="Arial"/>
          <w:sz w:val="18"/>
          <w:szCs w:val="18"/>
          <w:color w:val="auto"/>
        </w:rPr>
        <w:t>transplant donor is used as the source of the cells manufactured for our allogeneic therapies. We are pursuing post-transplant AML as the lead indication for the MultiTAA-specific T cell program using our allogeneic therapies.</w:t>
      </w:r>
    </w:p>
    <w:p>
      <w:pPr>
        <w:spacing w:after="0" w:line="183"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Off-the-shelf MultiTAA-specific T cell therapies </w:t>
      </w:r>
      <w:r>
        <w:rPr>
          <w:rFonts w:ascii="Arial" w:cs="Arial" w:eastAsia="Arial" w:hAnsi="Arial"/>
          <w:sz w:val="18"/>
          <w:szCs w:val="18"/>
          <w:color w:val="auto"/>
        </w:rPr>
        <w:t>- We plan to enroll patients that will be matched to the pre-manufactured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 MT-401-OTS products based on their human leukocyte antigen, or HLA. Because the MT-401-OTS product inventory is pre-manufactured, the T cell product is delivered to the patient in a significantly shorter amount of time than a patient-specific T cell product.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blood source and the antigens for stimulation differ between the autologous, allogeneic and off-the-shelf therapies, the manufacturing process for each product is identical.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125730</wp:posOffset>
            </wp:positionV>
            <wp:extent cx="2708910" cy="1911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solution to the problem of tumor heterogeneity is the development of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128270</wp:posOffset>
            </wp:positionV>
            <wp:extent cx="2794635" cy="2023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spacing w:after="0" w:line="18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Clinical benefits observed in early-stage clinical trials in multiple cancer indications.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active disease. Significantly, no patient with a CR has subsequently relapsed with disease, whereas typically 30% or more of patients with CR in reported CAR-T studies relapse within one year. In patient results to date in this trial, observed therapeutic responses appear to be highly durable, with some patients being relapse-free beyond five years.</w:t>
      </w:r>
    </w:p>
    <w:p>
      <w:pPr>
        <w:spacing w:after="0" w:line="17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Non-gene modified.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CAR and TCR-based approaches, our MultiTAA-specific T cell therapy does not require genetic modification of T cells, a costly and complex process that significantly complicates the manufacturing of a patient product. We believe our MultiTAA-specific T cell therapy can be manufactured at a fraction of the cost of a gene-modified T cell product, with substantially reduced complexity of manufacturing.</w:t>
      </w:r>
    </w:p>
    <w:p>
      <w:pPr>
        <w:spacing w:after="0" w:line="18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No need for lymphodepletion before infusion.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Unlike CAR-T therapies, which require lymphodepletion of a patient’s existing T cells so that they will not compete with the infused therapy, the MultiTAA-specific T cell therapies work with the natural capabilities of T cells to target cancer and do not require lymphodepletion prior to infusion.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Low incidence rate of adverse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2022, the MultiTAA-specific T cell therapy has been generally well tolerated by all of the patients enrolled in clinical trials in hematological and solid tumor indications with no incidences of cytokine release syndrome or neurotoxicity. This appears to compare favorably with published CD19 CAR-T studies that have been associated with substantial tolerability concerns, including one Phase 1 trial in which 95% of patients had Grade 3 or higher adverse events during treatment.</w:t>
      </w:r>
    </w:p>
    <w:p>
      <w:pPr>
        <w:spacing w:after="0" w:line="16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Appears to drive endogenous immune responses.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clinical trials, we have observed evidence of “epitope spreading” in the treated patients, meaning that the MultiTAA-specific T cell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9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Capable of addressing a broad repertoire of cancer cells.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five different tumor-associated antigens. The five antigen targets can be recognized by a very wide range of T cells, which we believe facilitates robust killing of targeted cancer cells.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Company-Sponsored Clinical Development of Our MultiTAA-Specific T Cell Therapies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MT-401 for the Treatment of Post-Transplant AML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conducting a Phase 2 clinical trial in post-allogeneic HSCT patients with AML in both the adjuvant and active disease setting under our IND, and this trial may become pivotal pending the results of the interim analysis. The dose administered in this multicenter trial is currently 100 million cells every two weeks for three doses. In the adjuvant setting, patients will be randomized to either MT-401 or standard of care (observation) at approximately 90 days post-transplant, while the active disease patients will receive MT-401 following relapse post-transplant as part of a single-arm group.</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completed the safety lead-in portion of the trial in June 2021 that enrolled six patients. Three patients were dosed with MT-401 manufactured using the legacy reagent used in the Phase 1 trial, and three patients were dosed with MT-401 manufactured using a reagent from an alternative supplier. We anticipate using this supplier for clinical and commercial supply of MT-401.</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safety lead-in enrolled six patients with active disease: one MRD positive patient and five frank relapse patients. The initial results from the safety lead-in are as follows:</w:t>
      </w:r>
    </w:p>
    <w:p>
      <w:pPr>
        <w:spacing w:after="0" w:line="170" w:lineRule="exact"/>
        <w:rPr>
          <w:sz w:val="20"/>
          <w:szCs w:val="20"/>
          <w:color w:val="auto"/>
        </w:rPr>
      </w:pPr>
    </w:p>
    <w:p>
      <w:pPr>
        <w:ind w:left="680" w:right="20" w:hanging="321"/>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dose limiting toxicities, cytokine release syndrome or neurotoxicity were observed. The results were consistent with the safety data observed in more than 150 patients treated in the Phase 1/2 studies at the Baylor College of Medicine;</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MRD+ patient became MRD- after infusion with MT-401;</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objective responses from the frank relapse patients;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immuno-monitoring data indicate evidence of epitope spreading after infusion of MT-401 in the patient who converted from MRD+ to MRD-.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completing the safety lead-in portion, we initiated the remainder of the Phase 2 trial in July 2021, in which we intend to enroll 180 patients at approximately 20 transplant centers. Group 1 will comprise of 120 adjuvant (disease-free) patients, with the primary endpoint of relapse-free survival of patients randomized to receive MT-401 versus a control group. Group 2 will comprise of 60 active disease patients in a single arm, with primary endpoints of complete remission and duration of complete remission. We have completed enrollment of approximately 20 patients, and we expect to report results from the active disease arm of the trial in the second quarter of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MT-601 for the Treatment of Pancreatic Cancer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developing MT-601 for the treatment of pancreatic cancer. MT-601 is a MultiTAA-specific T cell product targeting six tumor-associated antigens that are highly expressed in pancreatic cancer. In January 2022, the FDA granted orphan drug designation to MT-601 for the treatment of patients with pancreatic cancer. We plan to submit an IND to the FDA in 2022 to initiate a Phase 1 multicenter clinical trial in 2023 in locally advanced, unresectable or metastatic pancreatic cancer to assess the safety and initial efficacy of MT-601 in combination with front-line chemotherapy. We expect to enroll a total of approximately 40 patients and anticipate this trial will include both an antigen/dose escalation portion followed by a dose expansion portion, with a dose of between 20 and 100 million cells every four weeks for up to six doses.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MT-601 for the Treatment of Lymphoma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pursuing the development of MT-601 for the treatment of lymphoma, and we plan to submit an IND to the FDA in 2022 to initiate a Phase 1 clinical trial in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Off-the-Shelf Platform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expand our AML program with the development of MT-401-OTS, a scalable, off-the-shelf product candidate with the potential to match patients to treatment in under three days. We intend to dose patients using “banked” products based on human leukocyte antigen matching. We believe our off-the-shelf platform has high scalability, where one donor has the potential to provide more than 100 patient products. Our open IND for MT-401 for the treatment of AML includes approval of an off-the-shelf program. We are in the process of developing our patient cell bank inventory and expect to dose the first patient in 2023. We expect to expand our off-the-shelf platform into clinical trials for other hematological malignancies and solid tumors.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Our MultiTAA-Specific T Cell Therapies by BCM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clinical trials are being conducted by BCM pursuant to our strategic alliance. If data from these early clinical trials are positive, we will consider the therapeutic and commercial potential for such therapies to be advanced as new product candidates for us. In each trial, correlative studies showed significant expansion of MultiTAA-specific T cells, as well as significant evidence of epitope spreading with expansion of endogenous T cells specific for tumor-associated antigens that were not targeted by the MultiTAA-specific T cell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Myeloid Leukemia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pursuing the development of MT-401 for the treatment of post-transplant AML as the lead indication for the MultiTAA-specific T cell program. Currently,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BCM recently completed a Phase 1 AML/MDS clinical trial of the MultiTAA-specific T cell therapy for the treatment of patients with post-transplant AML. In this trial, we treated patients in remission and with active disease post-transplant. As reported in a 2021 publication by Lulla et al. and illustrated below, 11 of the 17 patients in the adjuvant disease setting dosed with the MultiTAA-specific T cell therapy after receiving an allogeneic HSCT never relapsed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734685" cy="2880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468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MultiTAA-specific T cell infusion. As shown below, two of the eight patients achieved objective responses with one complete response and one partial response, with six patients continuing with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5760720" cy="3120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trial, the MultiTAA-specific T cell therapy was well tolerated, with no drug-related serious adverse events and no instances of greater than Grade 2 graft-versus-host disease.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developing MT-601 for the treatment of advanced unresectable pancreatic cancer. In May 2020, we reported interim data from an ongoing Phase 1/2 clinical trial of the MultiTAA-specific T cell therapy for the treatment of pancreatic adenocarcinoma being conducted by BCM. In this trial, BCM plans to enroll approximately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 total of 31 patients were administered the MultiTAA-specific T cell therapy: 13 patients in Arm A, 10 patients in Arm B and eight patients in Arm C.</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we have observed a clinical benefit correlated with the detection of tumor-reactive T cells in patient peripheral blood (Arms A, B and C) and within tumor biopsy samples (Arm C) post-infusion. T cells exhibited activity against both targeted antigens as well as non-targeted TAAs, including MAGE-A2B and AFP, indicating induction of antigen/epitope spreading. No cytokine release syndrome or neurotoxicity has been observed in any arm of the trial to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Arm A is designed to evaluate the safety and potential efficacy of using MultiTAA-specific T cell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12 of the 13 patients, sufficient cells for all six planned doses were generated; two doses were available for the remaining patient.</w:t>
      </w:r>
    </w:p>
    <w:p>
      <w:pPr>
        <w:spacing w:after="0" w:line="248"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 of the 13 evaluable patients (best overall response):</w:t>
      </w:r>
    </w:p>
    <w:p>
      <w:pPr>
        <w:spacing w:after="0" w:line="225" w:lineRule="exact"/>
        <w:rPr>
          <w:sz w:val="20"/>
          <w:szCs w:val="20"/>
          <w:color w:val="auto"/>
        </w:rPr>
      </w:pPr>
    </w:p>
    <w:p>
      <w:pPr>
        <w:ind w:left="1340" w:hanging="333"/>
        <w:spacing w:after="0"/>
        <w:tabs>
          <w:tab w:leader="none" w:pos="13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4 patients experienced objective responses after administration of MultiTAA cells;</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1 patient experienced a radiographic complete response occurring at month 9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3 patients experienced partial responses per RECIST occurring at 6-9 months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6 patients experienced stable disease;</w:t>
      </w:r>
    </w:p>
    <w:p>
      <w:pPr>
        <w:spacing w:after="0" w:line="209" w:lineRule="exact"/>
        <w:rPr>
          <w:rFonts w:ascii="Courier New" w:cs="Courier New" w:eastAsia="Courier New" w:hAnsi="Courier New"/>
          <w:sz w:val="18"/>
          <w:szCs w:val="18"/>
          <w:color w:val="auto"/>
        </w:rPr>
      </w:pPr>
    </w:p>
    <w:p>
      <w:pPr>
        <w:ind w:left="1340" w:hanging="333"/>
        <w:spacing w:after="0" w:line="259" w:lineRule="auto"/>
        <w:tabs>
          <w:tab w:leader="none" w:pos="13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1 patient experienced a mixed response (some lesions increased in size and others decreased for a net zero change in size of tumor lesions);</w:t>
      </w:r>
    </w:p>
    <w:p>
      <w:pPr>
        <w:spacing w:after="0" w:line="184"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had durable cancer control with 9 of the 13 patients exceeding historical control of overall survival;</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 patients enrolled in the study were not administered MultiTAA-specific T cells, either because of disease progression (4 patients) which made them ineligible for treatment, or because insufficient starting material from the patient was available for manufacturing (1 patient);</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Evidence of epitope-spreading was observed in all responders, suggesting that the MultiTAA T cell therapy triggered the recruitment of a broader endogenous immune system response for improved anti-tumor activity;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infusion-related reactions, cytokine release syndrome or neurotoxicity was observed.</w:t>
      </w:r>
    </w:p>
    <w:p>
      <w:pPr>
        <w:spacing w:after="0" w:line="225" w:lineRule="exact"/>
        <w:rPr>
          <w:rFonts w:ascii="Arial" w:cs="Arial" w:eastAsia="Arial" w:hAnsi="Arial"/>
          <w:sz w:val="18"/>
          <w:szCs w:val="18"/>
          <w:color w:val="auto"/>
        </w:rPr>
      </w:pPr>
    </w:p>
    <w:p>
      <w:pPr>
        <w:jc w:val="both"/>
        <w:ind w:left="680" w:hanging="321"/>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Arm B is designed to evaluate the use of MultiTAA-specific T cell therapy as a second-line therapy for patients who have failed first-line chemotherapy. The patients in this chemo-refractory arm are either ineligible for chemotherapy or have progressed on chemotherapy and have received or are receiving up to six doses of MultiTAA-specific T cell therapy as a monotherapy. The following graphic depicts the best clinical assessment of the 10 evaluable patients in Arm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2280285" cy="197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2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Among the patients who saw clinical disease stabilization, significant expansion of the infused MultiTAA-specific T cell therapy was observed, along with broad-based epitope spreading, with significant expansion of endogenous T cells specific for other tumor-specific antigens.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C</w:t>
      </w:r>
    </w:p>
    <w:p>
      <w:pPr>
        <w:spacing w:after="0" w:line="2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Arm C is designed to assess T cell infiltration and expansion. These patients with borderline surgically resectable disease received or will receive a dose of MultiTAA-specific T cell therapy following chemotherapy, radiotherapy or combination and prior to surgical resection and up to five additional doses of T cells after surgery. In the patients evaluable in Arm C, MultiTAA-specific T cells were measurable in meaningful numbers as detected by correlative analysis of resected tumor, and significant expansion of the infused MultiTAA-specific T cells was observed, along with broad-based epitope spreading, with significant expansion of endogenous T cells specific for other tumor specific antigens. As illustrated below with respect to the six patients treated in Arm C, three of the patients in Arm C remain in the trial, while three patients had recurrence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121920</wp:posOffset>
            </wp:positionV>
            <wp:extent cx="5349240" cy="258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Lymphoma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BCM is currently evaluating the MultiTAA-specific T cell therapy in a Phase 1 clinical trial for the treatment of patients with lymphoma. A total of 32 patients received two protocol-specified infusions of MultiTAA-specific T cells, 14 with Hodgkin lymphoma, or HL, and 18 with aggressive non-Hodgkin lymphoma, or NHL, [diffuse large B-cell lymphoma, or DLBCL, (n=12), mantle cell lymphoma, or MCL, (n=2), T-cell lymphoma (n=3) and composite lymphoma (HL and DLBCL, n=1)].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reported in a recent publication by Vasileiou et al., BCM had treated 15 patients with active disease, which we refer to as the active lymphoma group, all of whom had completed a follow-up period beyond three months post-infusion. These patients were heavily pre-treated and, on average,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were between two and over five years after being infused with the MultiTAA-specific T cell therapy with the exception of one CR patient who died of an unrelated pneumonia.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760720" cy="3206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treated 17 patients, including one patient who was treated a second time after a relapse, in remission, which we refer to as the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5760720" cy="3188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both treatment groups, the MultiTAA-specific T cell therapy was well tolerated, with no drug-related serious adverse events, suggesting that the MultiTAA-specific T cell therapy might serve as a standard-of-care maintenance therapy for lymphoma patients in remission.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data from this trial show “epitope spreading,” or expansion of patients’ endogenous T cells (specific for an expanded set of tumor-associated antigens beyond those targeted by the infused therapy) in the months following infusion. Significantly, we have observed this effect even though some patients in this trial received doses that had not yet been antigen-escalated to the full antigen dose.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Lymphoblastic Leukemia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BCM is currently evaluating the MultiTAA-specific T cell therapy in a Phase 1 clinical trial for the treatment of patients with ALL. Leukemic relapse is one of the primary causes of treatment failure in HSCT recipients. Like post-transplant AML patients, post-transplant ALL patients have limited treatment options, with donor lymphocyte infusions similarly associated with the risk of life-threatening graft-versus-host disease. While CAR-T therapies have shown potent anti-leukemia activity in post-transplant ALL patients, CD19-CAR-T cell therapies target a single antigen, carrying the inherent risk of immune escape, and are most effective in malignancies of B-cell lineage. In contrast, the MultiTAA-specific T cell therapy targets multiple antigens expressed in both B- and T-cell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this trial, as reported in February 2019 we had treated 18 patients. Of the seven evaluable patients:</w:t>
      </w:r>
    </w:p>
    <w:p>
      <w:pPr>
        <w:spacing w:after="0" w:line="225"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evaluable patients were up to 28 months in CCR;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patient experienced relapse displayed mixed donor/recipient chimerism after transplant, but remained in CCR for 6 months;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who remained in CCR had been durable for between four to 28 months, with a median of 16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Myeloma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BCM is currently evaluating the MultiTAA-specific T cell therapy in a Phase 1b/2a clinical trial for the treatment of patients with MM. In this trial, we are treating both active and adjuvant post-autologous stem cell transplant MM patients both within 90 days and more than 90 days post-transplant. We have not seen a meaningful difference in response rates or durability between the two arms and intend to standardize future trials based upon a protocol wherein patients will receive MultiTAA-specific T cell therapy immediately post-transplant.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reported in a 2021 publication by Lulla et al., of the 12 patients that had been treated in the active MM group with a median of 3.5 prior lines:</w:t>
      </w:r>
    </w:p>
    <w:p>
      <w:pPr>
        <w:spacing w:after="0" w:line="170"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patient had a CR;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Two patients achieved partial responses;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Nine patients had stable disease following initial MultiTAA-specific T cell infusion.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nine patients that had been treated in the adjuvant MM group, all nine patients had remained in CCR, with a median follow-up of 21 months. Only two patients had relapsed at months seven and 13 after infusion while the remaining patients remain in CCR at a median follow-up of 27.5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Development and Manufacturing of The MultiTAA-Specific T Cell Therapies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manufacturing process, blood is drawn from either the individual patient (in the case of the autologous T cells) or from the allogeneic stem cell transplant donor (in the case of the allogeneic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blood is drawn, PBMCs are isolated and used to manufacture a patient-specific product. These cells are placed inside a G-Rex manufacturing device and combined with an experimentally optimized mix of GMP-grade cytokines that is used to restore and enhance the functional capability of the cultured T cells. In addition, libraries of overlapping peptides, which we refer to as peptide pools, spanning the target antigens are combined with antigen presenting cells and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G-Rex is a cell culture device manufactured by Wilson Wolf used by many cell therapy developers, both in commercial and academic settings. The device allows a user to introduce cells, medium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Inside the G-Rex, PBMCs are co-cultured with antigen-presenting cells that have been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release of the final patient product, the cells are frozen and transported to the site where the cells will be administered. The standard dose for patients with lymphoma, AML or myeloma ranges from 5 to 20 million cells per meter squared (corresponding to typical doses of 10 to 40 million cells per adult patient). These cell doses represent a significantly smaller dose of cells, when compared to CAR-T or TCR therapies. As a result, our therapy requires only a very small infusion volume that can be administered to 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established an in-house cGMP manufacturing facility, and we began manufacturing MT-401 for our Phase 2 trial in AML in the fourth quarter of 2021. Our facility allows for production of MultiTAA-specific T cell products according to FDA guidelines and is designed to be scalable using modular processes. We believe that our in-house manufacturing facility confers key advantages that distinguish us from our competitors, in particular that we are less reliant on contract manufacturing organizations, which are expensive and often have long lead times, shortages of skilled labor and a backlog of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Peptide-Based Immunotherapeutic Vaccines: TPIV200 and TPIV100/110</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our MultiTAA-specific T cell therapies, we are developing peptide-based immunotherapeutic vaccines that are designed to precisely target breast and ovarian cancer cells, in contrast to standard therapies for the treatment of cancer that target both cancer cells and normal cells. Our peptide vaccines are derived from naturally processed T cell-targeted antigens. We believe that our peptide vaccines are potentially effective standalone therapies but may also enhance the efficacy of other immunotherapy approaches, including our own MultiTAA-specific T cell therapies. Our multipeptide approach is fundamentally different from traditional vaccine therapies that have generally targeted a major histocompatibility complex, or MHC, class I-restricted epitope and have historically performed poorly as stand-alone treatments. We are currently evaluating TPIV200 for the treatment of breast cancers that overexpress FRa in multiple Phase 2 clinical trials and TPIV100 for the treatment of breast cancers that overexpress HER2/neu in Phase 1b and Phase 2 clinical trials.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TPIV200 for the Treatment of FRa-Overexpressed Breast and Ovarian Cancers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FRa is overexpressed in over 80% of breast cancers and over 90% of ovarian cancers. The only treatment options for these cancers are surgery, radiation therapy and chemotherapy, creating a very important and urgent clinical need for a new therapeutic strategy. Time to recurrence is relatively short for ovarian cancer and survival prognosis is extremely poor after recurrence. In the United States alone, every year there are 22,350 new ovarian cancer diagnoses and 268,600 new breast cancer diagnoses, of which 10% are diagnoses of triple-negative breast cancer.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TPIV200 is composed of a mixture of five FRa-derived immunogenic peptides adjuvanted with low-dose granulocyte-macrophage colony-stimulating factor, or GM-CSF, and is designed to activate both the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 cell compartments in order to activate a patient’s T cells against the targets. Recent developments in immunology suggest that both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activation support a robust immune response.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 in Advanced Breast and Ovarian Cancer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this Phase 1 clinical trial, completed by Mayo Clinic in 2015, 21 patients with advanced breast or ovarian cancer who had undergone standard surgery and adjuvant treatment were treated with one cycle of cyclophosphamide, followed by intradermal vaccination of TPIV200 on day one of a 28-day cycle for a maximum of six vaccination cycles. In the trial, 20 of 21 patients generated T cell responses. These responses developed slowly over the course of the vaccination cycles, with a median time to maximal immunity of five months. Over 90% of patients developed robust and durable antigen-specific immune responses against FRa without regard for HLA type, which aligns with the intended mechanism of action of the vaccine, and 89% of the patients responded to multiple epitopes included in the TPIV200 vaccine, with most patients demonstrating T cell immunity to three or more epitopes. Further, all 16 patients in the observation stage generated T cell responses that lasted over six months.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TPIV200 was well-tolerated, with only one Grade 3 drug-related adverse event. In a two-year patient follow-up analysis, the 10 enrolled ovarian cancer patients had longer median progression-free survival time of 528 days than the 313 days historically reported for the standard-of-care chemotherapy treatment. All patients were alive at the final follow-up. None of the 7 breast cancer patients had experienced a recurrence.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in Triple-Negative Breast Cancer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Triple-negative breast cancer is one of the most difficult cancers to treat and represents a clear unmet medical need. With the support of a $13.3 million grant from the Department of Defense, the Mayo Foundation is conducting a 280-patient Phase 2 clinical trial of TPIV200 in patients with triple-negative breast cancer, which began enrolling patients in late 2017 and is still recruiting patients.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21, 2016, we announced the initiation of a randomized four-arm Phase 2 trial of TPIV200 for the treatment of patients with Stage 1 to Stage 3 triple-negative breast cancer who have completed initial surgery and chemo/radiation therapy. This open-label, 80-patient clinical trial is designed to evaluate dosing regimens, pre-treatment, efficacy and immune responses. In the trial, we are evaluating a high dose and a low dose of TPIV200, each of which will be tested both with and without cyclophosphamide prior to vaccination. To date, there have been no drug-related serious adverse events reported. The last subject completed the trial in July 2021 and the data analysis and clinical study report are being prepared.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 in Combination With Durvalumab for Patients with Ovarian Cancer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21, 2016, we announced our participation in an ovarian cancer trial sponsored by Memorial Sloan Kettering Cancer Center, or MSKCC, in collaboration with AstraZeneca Pharmaceuticals in ovarian cancer patients who are not responsive to platinum, a commonly used chemotherapy for ovarian cancer. This open-label Phase 2 trial of TPIV200 in 40 patients is designed to evaluate the effects of combination therapy with AstraZeneca’s checkpoint inhibitor durvalumab (anti-PD-L1). Interim results from the first 27 patients were presented at the AACR-Rivkin Symposium in September 2018; safety of the combination was shown in these heavily pretreated patients and a subset of patients exhibited durable disease stabilization. Objective response rate and progression-free survival with combination treatment was not superior from the expected efficacy of durvalumab as a monotherapy.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paid for half of the costs of this trial, in addition to providing TPIV200.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TPIV 100/110 for the Treatment of HER2/neu-Overexpressed Breast Cancers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HER2/neu amplification/overexpression results in an effective therapeutic target in breast and gastric cancer. Over-expressed HER2 is detected predominantly in malignancies of epithelial origin, such as breast, gastric, esophageal, colorectal, salivary gland, pancreatic,</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with all types of breast cancer subsequently develop metastatic disease. The continued prevalence of these cancers represents a high unmet medical need, justifying the targeted development of immunotherapeutic strategies.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added a MHC class I-restricted peptide, which we licensed from the Mayo Foundation on April 16, 2012, to the four MHC class II-restricted peptides present in TPIV100, resulting in TPIV 110 after the five peptides are mixed with GM-CSF. We have amended the existing IND to incorporate the fifth peptide and will use TPIV110 in future trials with the goal of producing an even more robust vaccine activating both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(helper)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(killer) T cells.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7, 2016, we announced that we had exercised our option agreement with Mayo Foundation and signed a worldwide license agreement to TPIV100. The license gives us the right to develop and commercialize the technology in any cancer indication in which the HER2/neu antigen is overexpressed. As part of this agreement, the IND for the HER2/neu Phase 1 trial was transferred from Mayo Foundation to us for Phase 2 clinical trials of TPIV100. See “—Mayo Foundation for Medical Education and Research Relationships— Mayo HER2/neu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Trials in HER2/neu</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Phase 1 trial of 20 patients conducted at the Mayo Clinic, TPIV100 was well tolerated. Nineteen of the twenty evaluable patients showed robust T-cell immune responses to the antigens in the vaccine. An additional secondary endpoint incorporated into this trial was a two-year follow-on recording the time to disease recurrence in the participating breast cancer patients.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14, 2017, we announced that our partners at the Mayo Clinic received a $3.8 million grant from the Department of Defense to conduct a Phase 1b trial of TPIV100 in ductal carcinoma in situ, or DCIS, an early form of breast cancer. We are working closely with the Mayo Foundation on this clinical trial by providing clinical and manufacturing expertise, as well as providing GMP vaccine formulations under contract. The trial is expected to enroll 40 – 45 women with DCIS and commenced such enrollment during the first quarter of 2019. If the trial is successful and subject to receiving marketing approval from the FDA, we believe that TPIV100 may eventually augment or even replace standard surgery and chemotherapy, and potentially could become part of a routine immunization schedule for preventing breast cancer in healthy women.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in HER2/neu</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10, 2018, we announced that the Mayo Clinic had been awarded a grant of $11 million from the Department of Defense intended to cover the costs of a large randomized, double-blind Phase 2 trial of TPIV100. We are working closely with the Mayo Foundation on this clinical trial by providing clinical and manufacturing expertise, as well as providing GMP vaccine formulations under contract. In this trial, 190 patients will be randomized, in a 2:1 fashion, to receive TPIV100 plus maintenance ado-trastuzumab emtansine, or T-DM1, or maintenance T-DM1with placebo plus GM-CSF. The trial will evaluate whether the administration of vaccine during T-DM1 maintenance therapy in patients with residual disease post-neoadjuvant chemotherapy effectively blocks disease recurrence and the development of metastatic breast cancer. By prevention of recurrence and metastasis, the expectation is that mortality associated with breast cancer will be decreased.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completed the construction and qualification of our cGMP manufacturing facility in Houston, Texas in January 2021, and we began manufacturing MT-401 for our Phase 2 trial in AML in the fourth quarter of 2021. Our facility allows for production of MultiTAA-specific T cell products according to FDA guidelines and is designed to be scalable using modular processes. Prior to that time, we relied on BCM to manufacture our MultiTAA-specific T cell therapies, and we continue to rely on BCM to manufacture the raw materials, our active pharmaceutical ingredients, or APIs, and finished solid dose products for our peptide vaccines for clinical uses. We anticipate using our manufacturing facility to produce clinical supply of MT-601 and commercial supply of any approved product candidates.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supply chain for manufacturing raw materials, API, peptide vaccines and MultiTAA-specific T cell therapies ready for distribution and commercialization is a multi-step process. Establishing and managing the supply chain requires a significant financial commitment and the creation and maintenance of numerous third-party contractual relationships.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Third-party manufacturers supply us with raw materials for the peptide vaccines, and other third-party manufacturers convert these raw materials into API or convert the API into final dosage form. For most of our peptide vaccine candidates, once our raw materials are produced, we rely on different third parties to manufacture the API, to make finished drug product and to lyophilize, package and label the finished product. While we currently have focused on single vendors for manufacturing of peptide, formulation development, and lyophilization and vialing, we have access to numerous other vendors, if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Merck/Immune Design, Celldex, BN Immunotherapeutics, Immunocellular, SELLAS Life Sciences Group, Inc. (formerly) Galena BioPharma, NuGenerex Immuno-Oncology (formerly) Antigen Express, Transgene S.A., and Bavarian Nordic. In addition, other adoptive T-cell therapies, monoclonal antibodies and checkpoint inhibitors also provide competition in the oncology space. In these areas, competitors include Iovance, Immatics, NexImmune, Repertoire Immune Medicines, Tessa Therapeutics, Adaptimmune, Mana Therapeutics, Bluebird Bio, Cellectis, Kuur Therapeutics, Juno Therapeutics/Celgene/Bristol Myers Squibb, Kite Pharma/Gilead, Novartis, Roche Pharmaceuticals, Merck &amp; Co, AstraZeneca plc and Medimmune, LLC. We believe that our non-engineered T cells therapy and our in vivo T-cell therapy approaches will be synergistic and may improve therapies being developed by these competitors. Many companies and institutions, either alone or together with their collaborative partners, have substantially greater financial, technical and human resources, and significantly greater experience than we do in the following:</w:t>
      </w:r>
    </w:p>
    <w:p>
      <w:pPr>
        <w:spacing w:after="0" w:line="171"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BCM Exclusive License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“Pepmixes to Generate Multiviral CTLs with Broad Specificity”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“Immunogenic Antigen Identification from a Pathogen and Correlation to Clinical Efficacy”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 cell performance assay as a prognostic factor for clinical outcome"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1,490,813 shares of our common stock and warrants to acquire 540,643 shares of our common stock in connection with the merger we completed in October 2018.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terminated sooner, the license will expire on a licensed product-by-product basis and country-by-country basis, on the later of</w:t>
      </w:r>
    </w:p>
    <w:p>
      <w:pPr>
        <w:spacing w:after="0" w:line="46"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of expiration of the last valid claim of patent rights to expire that covers the sale of such licensed product in such country,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exclusively licensed the intellectual property for our TPIV100/110 HER2/neu breast cancer vaccine and TPIV200 folate receptor alpha vaccine product candidates from the Mayo Foundation for Medical Education and Research, or the Mayo Foundation.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we executed a Sponsored Research Agreement with the Mayo Foundation for the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Patent &amp; Know-How License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2012, we entered into a Patent &amp; Know-How License Agreement with the Mayo Foundation pursuant to which we licensed certain intellectual property rights from the Mayo Foundation for the development and commercialization of certain products, methods and processes property relating to a proprietary HER2/neu technology.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prophylactic and therapeutic use. This license is an exclusive license for products that are based on the licensed intellectual property and non-exclusive for products that are based on Mayo Foundation know–how and materials. The intellectual property licensed includes U.S. patents 9,814,767 (estimated expiration date February 15, 2033) and 10,117,919 (estimated expiration date February 15, 2033) and European patent 2814836 (estimated expiration date February 15, 2033).</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this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controls the prosecution and maintenance of the Patent Rights in consultation with us.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Mayo Foundation granted this license in exchange for an upfront payment of $250,000 that we paid in three installments. In addition to the upfront payment, we are to pay an annual license maintenance fee, milestone fees, royalty fees (which will be subject to a minimum annual royalty fee once royalty fees are due), a percentage of sublicense income (if applicable), and a $2,000,000 diligence fee if we fail to initiate a Phase 2 clinical trial for a Licensed Product prior to the eighth anniversary of the agreement.</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agreed to indemnify and hold Mayo Foundation harmless from any damages caused as a result of (1) the practice or exercise of any rights and assignments granted pursuant to the agreement by or on behalf of us, any affiliate, or any sub-licensee; (2) research, development, design, manufacture, distribution, use, sale, importation, exportation or other disposition of Licensed Products; (3) our, any affiliates, or any sub-licensee’s act or omission; and (4) third party suits for patent infringement involving a Licensed Product.</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of this agreement runs from March 25, 2012 until the date of the last to expire of the Valid Claims (as defined in the agreement), provided that Mayo Foundation may terminate the agreement if, among other matters, (1) 45 days after providing us with notice of a material breach of this agreement, we fail to cure such breach, (2) we fail to initiate a Phase 3 clinical trial for a Licensed Product prior to the tenth anniversary of the agreement, and (3) we cease to conduct business in the normal event of operations or become insolvent or bankrupt. We may voluntarily terminate the agreement at any time upon written notice to Mayo Foundation.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4, 2016, we entered into a License and Assignment Agreement with Mayo Foundation, or the Mayo Foundation HER2/neu License, pursuant to which we licensed certain intellectual property rights from the Mayo Foundation for the development and commercialization of certain products, methods and processes property relating to any cancer indication in which the HER2/neu antigen is overexpressed. The Mayo Foundation HER2/neu License resulted from our exercise of an option that was issued pursuant to a Technology Option Agreement that we entered into with the Mayo Foundation on May 25, 2010.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licensed intellectual property and non-exclusive for products that are based on Mayo Foundation know–how and materials. The intellectual property licensed includes European patent 2215111 (estimated expiration date October 30, 2028).</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Mayo Foundation HER2/neu License, and subject to certain exceptions, we are responsible for, among other things, developing the technology under the Patent Rights to bring Licensed Products (both as defined in the Mayo Foundation HER2/neu License) to market and costs of filing, prosecution and maintenance of the Patent Rights. Mayo Foundation has sole control over the protection, defense, enforcement, maintenance abandonment and other handling of the Know-How (as defined in the Mayo Foundation HER2/neu License) and Materials (as defined in the Mayo Foundation HER2/neu License).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payment of $300,000. The Mayo Foundation assigned to us IND #14749, and we assumed all responsibility and liability for this investigational new drug application. In addition to the initial payment, we are to pay an annual license maintenance fee, milestone fees, royalty fees (which will be subject to a minimum annual royalty fee once royalty fees are due) and, if applicable, a percentage of sublicense income.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(1) the practice or exercise of any rights and assignments granted pursuant to the agreement by or on behalf of us or any sub-licensee; (2) research, 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of this agreement runs from May 4, 2016 until the date of our last obligation to make payments under the agreement, provided that Mayo Foundation may terminate the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second anniversary of the agreement and, once initiated, keep current on all of our Phase 2 funding obligations and (b) initiate a Phase 2b or 3 clinical trial for a Licensed Product prior to the fifth anniversary of the agreement, (3) we fail to make a sale of a Licensed Product by May 4, 2026, and (4) we cease to conduct business in the normal event of operations or become insolvent or bankrupt. We may voluntarily terminate the agreement at any time upon written notice to Mayo Foundation.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21, 2015, we entered into a License and Assignment Agreement with Mayo Foundation, or the Mayo Foundation FRa License, pursuant to which we licensed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FRa License resulted from our exercise of an option that we acquired from Ayer Special Situations Fund I, LP, or Ayer, that was issued pursuant to a Technology Option Agreement that Ayer entered into with the Mayo Foundation on March 19, 2014.</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overexpress Folate Receptor Alpha. This license is an exclusive license for products that are based on the licensed intellectual property and non-exclusive for products that are based on Mayo Foundation know–how and materials. The intellectual property that is licensed includes US patents 8,486,412 (estimated expiration date April 3, 2029), 8,858,952 (estimated expiration date March 10, 2031), 9,243,033 (July 10, 2027) and 9,915,646 (estimated expiration date June 1, 2027).</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Mayo Foundation FRa License, and subject to certain exceptions, we are responsible for, among other things, developing the technology under the Patent Rights to bring Licensed Products (both as defined in the Mayo Foundation FRa License) to market and costs of filing, prosecution and maintenance of the Patent Rights. Mayo Foundation has sole control over the protection, defense, enforcement, maintenance abandonment and other handling of the Know-How (as defined in the Mayo Foundation FRa License) and Materials (as defined in the Mayo Foundation FRa License).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Mayo Foundation granted this license in exchange for an initial upfront payment of $350,000. The Mayo Foundation assigned to us IND # 14546, and we assumed all responsibility and liability for this investigational new drug application. In addition to the initial upfront payment, we are to pay additional upfront payments, an annual license maintenance fee, milestone fees, royalty fees (which will be subject to a minimum annual royalty fee once royalty fees are due), and, if applicable, a percentage of sublicense income.</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indemnify and hold Mayo Foundation harmless from any damages caused as a result of (1) the practice or exercise of any rights and assignments granted by the Mayo Foundation FRa License by or on behalf of us or any sub-licensee; (2) research,</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2nd anniversary of the Mayo Foundation FRa License and, once initiated, keep current on all of our Phase 2 funding obligations and (b) initiate a Phase 2b or 3 clinical trial for a Licensed Product prior to the 5th anniversary of the Mayo Foundation FRa License, (3) we fail to make a sale of a Licensed Product by July 21, 2025 and (4) we cease to conduct business in the normal event of operations or become insolvent or bankrupt. We may voluntarily terminate the Mayo Foundation FRa License at any time upon written notice to Mayo Foundation.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and our Mayo Foundation licenses.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achieve this objective, a strategic focus for us has been identifying and licensing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also opportunities to obtain an extension of term for patents covering a product in certain jurisdictions, which adds further complexity to the determination of patent life.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number of issued and pending patents covering composition of matter of our PolyStart technology and methods of using our PolyStart technology, including: U.S. 9,364,523 (estimated expiration date March 17, 2035); U.S. 9,655,956 (estimated expiration date March 17, 2035); U.S. 9,988,643 (estimated expiration date March 27, 2035); and U.S. 10,030,252 (estimated expiration date March 17, 2035).</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17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have patents and patent applications in other countries, as well as in the European Patent Office, that we believe provide equivalent or comparable protection for our product candidates in jurisdictions internationally that we consider to be key markets. Foreign patent filings related to our PolyStart technology include Australian patent no. 2015231461 and pending applications in the several jurisdictions, including the European Patent Office. Because of differences in patent laws and laws concerning proprietary rights, the extent of protection provided by U.S. patents or proprietary rights owned by us may differ from that of their foreign counterparts.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680" w:right="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680" w:right="20" w:hanging="321"/>
        <w:spacing w:after="0" w:line="259"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80" w:hanging="321"/>
        <w:spacing w:after="0" w:line="259"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6"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2" w:lineRule="exact"/>
        <w:rPr>
          <w:sz w:val="20"/>
          <w:szCs w:val="20"/>
          <w:color w:val="auto"/>
        </w:rPr>
      </w:pPr>
    </w:p>
    <w:p>
      <w:pPr>
        <w:ind w:left="68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 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56 full-time employees. There were 41 in research, development, quality, CMC and clinical and 15 were in finance, legal, human resources or administrative support. None of our employees is subject to a collective bargaining agreement. We consider our relationship with our employees to be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Approximately 80% of our executive officers are women or self-identify as a member of an underrepresented minority group.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2500, Houston, Texas 77027, and our telephone number is (713) 400-6400. Our common stock is listed for trading on the Nasdaq Capital Market under the symbol “MRKR”.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color w:val="auto"/>
        </w:rPr>
        <w:t>www.markertherapeutics.com</w:t>
      </w:r>
      <w:r>
        <w:rPr>
          <w:rFonts w:ascii="Arial" w:cs="Arial" w:eastAsia="Arial" w:hAnsi="Arial"/>
          <w:sz w:val="17"/>
          <w:szCs w:val="17"/>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this “Risk Factors” section and include, among others:</w:t>
      </w:r>
    </w:p>
    <w:p>
      <w:pPr>
        <w:spacing w:after="0" w:line="170" w:lineRule="exact"/>
        <w:rPr>
          <w:sz w:val="20"/>
          <w:szCs w:val="20"/>
          <w:color w:val="auto"/>
        </w:rPr>
      </w:pPr>
    </w:p>
    <w:p>
      <w:pPr>
        <w:ind w:left="680" w:right="2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and operations are likely to be adversely affected by the evolving and ongoing COVID-19 global pandemic.</w:t>
      </w:r>
    </w:p>
    <w:p>
      <w:pPr>
        <w:spacing w:after="0" w:line="236" w:lineRule="exact"/>
        <w:rPr>
          <w:rFonts w:ascii="Arial" w:cs="Arial" w:eastAsia="Arial" w:hAnsi="Arial"/>
          <w:sz w:val="17"/>
          <w:szCs w:val="17"/>
          <w:color w:val="auto"/>
        </w:rPr>
      </w:pPr>
    </w:p>
    <w:p>
      <w:pPr>
        <w:jc w:val="both"/>
        <w:ind w:left="680" w:hanging="321"/>
        <w:spacing w:after="0" w:line="263"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earlier preclinical and clinical trials may not be predictive of future clinical trial results.</w:t>
      </w:r>
    </w:p>
    <w:p>
      <w:pPr>
        <w:spacing w:after="0" w:line="225"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6"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strategic relationship with BCM is dependent, in part, upon our ongoing relationship with key medical and scientific personnel and advisors.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healthcare payors and the medical community.</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we may not be able to compete effectively or operate profitably.</w:t>
      </w:r>
    </w:p>
    <w:p>
      <w:pPr>
        <w:spacing w:after="0" w:line="225" w:lineRule="exact"/>
        <w:rPr>
          <w:rFonts w:ascii="Arial" w:cs="Arial" w:eastAsia="Arial" w:hAnsi="Arial"/>
          <w:sz w:val="18"/>
          <w:szCs w:val="18"/>
          <w:color w:val="auto"/>
        </w:rPr>
      </w:pPr>
    </w:p>
    <w:p>
      <w:pPr>
        <w:jc w:val="both"/>
        <w:ind w:left="680" w:hanging="321"/>
        <w:spacing w:after="0" w:line="301"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rFonts w:ascii="Arial" w:cs="Arial" w:eastAsia="Arial" w:hAnsi="Arial"/>
          <w:sz w:val="16"/>
          <w:szCs w:val="16"/>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of our stock may be volatile.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 stage company with a history of operating losses, and we expect losses to continue for the indefinite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factors raise substantial doubt regarding our ability to continue as a going concern.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and the recent disruptions to and volatility in the credit and financial markets in the United States and worldwide resulting from the ongoing COVID-19 pandemic.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sustained losses from operations in each fiscal year since our inception, and we expect losses to continue for the indefinite future due to the substantial investment in research and development. We expect that our cash, cash equivalents and restricted cash as of December 31, 2021 will enable us to fund our operating expenses and capital expenditure requirements into the first quarter of 2023.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adversely affected by the evolving and ongoing COVID-19 global pandemic.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and operations could be adversely affected by the effects of the ongoing and evolving COVID-19 virus, which was declared by the World Health Organization as a global pandemic. The COVID-19 pandemic has resulted in travel and other restrictions in order to reduce the spread of the disease, including state and local orders across the United States that, among other things, direct individuals to shelter at their places of residence, direct businesses and governmental agencies to cease or limit non-essential operations at physical locations, prohibit or restrict certain non-essential gatherings and events and order cessation of non-essential travel. In response to public health directives and orders, we have implemented work-from-home policies for many of our employees, including at our headquarters in Houston, Texas, which is currently subject to an order that requires all non-essential businesses to cease in-person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Remote work policies, quarantines, shelter-in-place and similar government orders, shutdowns or other restrictions on the conduct of business operations related to the COVID-19 pandemic may negatively impact productivity and, to date, have disrupted our ongoing research and development activities and delayed certain of our clinical programs and timelines,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U.S. Food and Drug Administration, or FDA, requirements to move forward with the trial, which together have resulted in a delay in our overall timelines for this trial. Our ongoing and future clinical trials may be also affected by the COVID-19 pandemic. Patient enrollment and clinical site initiation, while ongoing, may be delayed due to prioritization of hospital resources toward the COVID-19 pandemic.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 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global COVID-19 pandemic continues to rapidly evolve, including as a result of the emergence of different variant strains of COVID-19. The extent to which the COVID-19 pandemic impacts our business and operations, including our clinical development and regulatory efforts, will depend on future developments that are highly uncertain and cannot be predicted with confidence at the time of this Form 10-K, such as the duration of the outbreak, the efficacy and availability of vaccines and other treatments, the evolution of viral variations and mutations, the duration and effect of business disruptions and the effectiveness of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However, these impacts could adversely affect our business, financial condition, results of operations and growth prospects.In addition, to the extent the ongoing COVID-19 pandemic adversely affects our business and results of operations, it may also have the effect of heightening many of the other risks and uncertainties described in this “Risk Factors” section.</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p>
      <w:pPr>
        <w:spacing w:after="0" w:line="187" w:lineRule="exact"/>
        <w:rPr>
          <w:sz w:val="20"/>
          <w:szCs w:val="20"/>
          <w:color w:val="auto"/>
        </w:rPr>
      </w:pPr>
    </w:p>
    <w:p>
      <w:pPr>
        <w:ind w:left="680" w:right="2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our product candidates;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produce any product candidates we develop on a commercial scale;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the FDA’s current Good Manufacturing Practices, or cGMPs, and complying effectively with other procedures;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52" w:lineRule="exact"/>
        <w:rPr>
          <w:sz w:val="20"/>
          <w:szCs w:val="20"/>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approval by an independent institutional review board, or IRB, at each clinical trial site;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 performance of our CROs may also be interrupted by the ongoing COVID-19 pandemic, including due to travel or quarantine policies, heightened exposure of CRO staff who are healthcare providers to COVID-19 or prioritization of resources toward the pandemic.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Phase 2 trial of MT-401 for the treatment of post-transplant AML, and the COVID-19 pandemic may further delay our planned timelines for our trial, which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may also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w:t>
      </w:r>
    </w:p>
    <w:p>
      <w:pPr>
        <w:sectPr>
          <w:pgSz w:w="11900" w:h="16838" w:orient="portrait"/>
          <w:cols w:equalWidth="0" w:num="1">
            <w:col w:w="9920"/>
          </w:cols>
          <w:pgMar w:left="980" w:top="517" w:right="99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is also likely to cause disruptions to our clinical programs. The COVID-19 pandemic may also result in difficulties in initiating clinical sites and enrolling patients, the diversion of healthcare resources away from clinical trials and other challenges related to travel or quarantine policies that may impede patient movement or interrupt healthcare services.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 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and have completed enrollment of approximately 20 patients.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earlier preclinical and clinical trials may not be predictive of future clinical trial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Baylor College of Medicine, or BCM,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experience difficulties in patient enrollment in our future clinical trials for a variety of reasons, including as a result of the COVID-19 pandemic.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70" w:lineRule="exact"/>
        <w:rPr>
          <w:sz w:val="20"/>
          <w:szCs w:val="20"/>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has granted orphan drug designation for MT-401 for the treatment of AML after receiving an allogeneic stem cell transplant and for MT-601 for the treatment of patients with pancreatic cancer.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July 2021, we opened an in-house cGMP manufacturing facility in Houston, Texas, which is now fully operational and is manufacturing MT-401 for the Phase 2 clinical trial for the treatment of post-transplant AML. Establishing and maintaining our own manufacturing facility is subject to many risks. We have limited prior experience in establishing a manufacturing facility and, although our facility is fully operational, we may encounter challenges given the complexity of manufacturing cell therapies. We will also compete for the small number of individuals with expertise in cell therapy manufacturing. Even with an operational facility, our manufacturing capabilities could be affected by cost-overruns, unexpected delays, equipment failures, labor shortages, natural disasters, power failures, transportation difficulties and numerous other factors that could prevent us from fully realizing the intended benefits of our manufacturing strategy and have a material adverse effect on our clinical development and/or commercialization plans.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we or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expect our in-house cGMP manufacturing facility to be our primary source of MultiTAA-specific T cell therapy-based product candidates and for commercial manufacturing of any products, if approved, we intend to evaluate potential third party manufacturing capabilities in order to provide potential multiple sources of clinical and commercial supply.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BCM or other third-party manufacturers, if any,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manufacturing process is reliant upon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Almac,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due to COVID-19 related issues with supply chain shortages.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suppliers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currently manufacture our clinical supply at our manufacturing facilities,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cooperation with our current contract manufacturers and suppliers, we developed and are implementing a new nine-day MultiTAA-specific T cell manufacturing process for our current Phase 2 AML trial as well as future clinical trials using a patient-specific manufacturing approach. The new manufacturing process marks additional manufacturing improvements compared to the processes used in the BCM Phase 1 and 2 trials (36-day manufacturing time) and the current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(including our new in-house facility)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have difficulty demonstrating that the product candidates produced from our new processes are identical to the existing products. The FDA may require additional clinical testing before permitting a larger clinical trial with the new processes, and such drug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corporate headquarters and cGMP manufacturing facility are located in Houston, Texas. In the event of a major hurricane or other serious weather event or catastrophic event such as fire, power loss, cyberattack, war, terrorist attack or epidemic or pandemic, such as the COVID-19 pandemic, that impacts our corporate headquarters or other facilities, ,or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 Including BCM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BCM is dependent, in part, upon our ongoing relationship with key medical and scientific personnel and advisors.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Chief Operating Officer and Chief Scientific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84"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pricing and the availability of coverage and adequate reimbursement by third-party payors and government authorities;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Operating Officer and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NexImmune, WindMIL Therapeutics, Mana Therapeutics, Tessa Therapeutics and Repertoire Immune Medicines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lead product candidate is a therapy to treat patients with AML after receiving an allogeneic stem cell transplant.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 and we may spend large amounts of money trying to obtain approval for product candidates that have an uncertain commercial market.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regulatory pathways for biosimilar competition could reduce the duration of market exclusivity for our products.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Scientific Officer and Chief Operating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5" w:lineRule="exact"/>
        <w:rPr>
          <w:sz w:val="20"/>
          <w:szCs w:val="20"/>
          <w:color w:val="auto"/>
        </w:rPr>
      </w:pPr>
    </w:p>
    <w:p>
      <w:pPr>
        <w:jc w:val="both"/>
        <w:ind w:left="680" w:hanging="321"/>
        <w:spacing w:after="0" w:line="311"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or like proceedings,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 candidates.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7"/>
          <w:szCs w:val="17"/>
          <w:i w:val="1"/>
          <w:iCs w:val="1"/>
          <w:color w:val="auto"/>
        </w:rPr>
        <w:t>inter-partes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88" w:lineRule="exact"/>
        <w:rPr>
          <w:sz w:val="20"/>
          <w:szCs w:val="20"/>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technologies are in-licensed from third parties, and the protection of those technologies is not entirely within our control.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57" w:lineRule="exact"/>
        <w:rPr>
          <w:sz w:val="20"/>
          <w:szCs w:val="20"/>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82" w:lineRule="exact"/>
        <w:rPr>
          <w:sz w:val="20"/>
          <w:szCs w:val="20"/>
          <w:color w:val="auto"/>
        </w:rPr>
      </w:pPr>
    </w:p>
    <w:p>
      <w:pPr>
        <w:ind w:left="680" w:right="2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7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680" w:hanging="321"/>
        <w:spacing w:after="0" w:line="279"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1"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80" w:right="20" w:hanging="321"/>
        <w:spacing w:after="0" w:line="263"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jc w:val="both"/>
        <w:ind w:left="680" w:hanging="321"/>
        <w:spacing w:after="0" w:line="255"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92"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177" w:lineRule="exact"/>
        <w:rPr>
          <w:rFonts w:ascii="Arial" w:cs="Arial" w:eastAsia="Arial" w:hAnsi="Arial"/>
          <w:sz w:val="17"/>
          <w:szCs w:val="17"/>
          <w:color w:val="auto"/>
        </w:rPr>
      </w:pPr>
    </w:p>
    <w:p>
      <w:pPr>
        <w:jc w:val="both"/>
        <w:ind w:left="680" w:hanging="321"/>
        <w:spacing w:after="0" w:line="301"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spacing w:after="0" w:line="275" w:lineRule="auto"/>
        <w:rPr>
          <w:sz w:val="20"/>
          <w:szCs w:val="20"/>
          <w:color w:val="auto"/>
        </w:rPr>
      </w:pPr>
      <w:r>
        <w:rPr>
          <w:rFonts w:ascii="Arial" w:cs="Arial" w:eastAsia="Arial" w:hAnsi="Arial"/>
          <w:sz w:val="17"/>
          <w:szCs w:val="17"/>
          <w:color w:val="auto"/>
        </w:rPr>
        <w:t>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and the healthcare reform measures of the Biden administration will impact the ACA and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through 2031, except for a temporary suspension from May 1, 2020 through March 31, 2022 due to the COVID-19 pandemic,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as part of other reform initiatives.</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concurrently released a final rule and guidance in September 2020, effective November 30, 2020,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12,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w:t>
      </w: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 It is possible that additional governmental action is taken in response to the COVID-19 pandemic.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consequences.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our business, we may collect, store, use, transmit, disclose, or otherwise process proprietary, confidential, and sensitive data, including personal data (such as health-related data regarding clinical trial subjects), intellectual property, and trade secrets.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or CPRA, effective January 1, 2023, will expand the CCPA. Other states have also enacted privacy laws. For example, Virginia passed the Consumer Data Protection Act, and Colorado passed the Colorado Privacy Act, both of which differ from the CPRA and become effective in 2023. Additional data privacy and security laws have been proposed at the federal, state, and local levels in recent years, which could further complicate compliance efforts. If we become subject to new data privacy laws, the risk of enforcement action against us could increase because we may become subject to additional obligations, and the number of individuals or entities that can initiate actions against us may increase.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or the EU GDPR, imposes strict requirements for processing personal data of individuals located within the European economic area. Under the EU GDPR, government regulators may impose temporary or definitive bans on data processing, as well as fines of up to 20 million euros or 4% of annual global revenue, whichever is greater. Additionally, certain jurisdictions have enacted data localization laws and cross-border data transfer laws that may affect our operations. 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endeavor to comply with all applicable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For example, if a third party upon which we rely to operate critical business systems experiences a security incident, we could suffer a significant interruption in our business. Furthermore,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litigation (including class-related claims); additional reporting requirements and/or oversight; bans on processing personal data; orders to destroy or not use personal data; and imprisonment of company officials. Any of these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limitations on our ability to develop or commercialize our products; expenditure of time and resources to defend any claim or inquiry; adverse publicity; or revision or restructuring of our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92" w:lineRule="exact"/>
        <w:rPr>
          <w:sz w:val="20"/>
          <w:szCs w:val="20"/>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thinly traded nature of our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actual or anticipated changes in our net loss or fluctuations in our operating results or in the expectations of securities analysts;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 , or sales of large blocks of our stock and sales by insiders and our institutional investors;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announcements of new collaboration agreements with strategic partners or developments by our existing collaboration partners;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changes in interest rates, and other national and global conditions, including the ongoing COVID-19 pandemic and related global economic uncertainty;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events affecting BCM, Mayo Clinic, Mayo Foundation for Medical Education and Research or any future collaborators;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 including the results of clinical trials, or variations in our quarterly operating results;</w:t>
      </w:r>
    </w:p>
    <w:p>
      <w:pPr>
        <w:spacing w:after="0" w:line="170" w:lineRule="exact"/>
        <w:rPr>
          <w:rFonts w:ascii="Arial" w:cs="Arial" w:eastAsia="Arial" w:hAnsi="Arial"/>
          <w:sz w:val="18"/>
          <w:szCs w:val="18"/>
          <w:color w:val="auto"/>
        </w:rPr>
      </w:pPr>
    </w:p>
    <w:p>
      <w:pPr>
        <w:ind w:left="680" w:right="20" w:hanging="321"/>
        <w:spacing w:after="0" w:line="342" w:lineRule="auto"/>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discussion of our company or our stock price by the financial and scientific press and in online investor communities.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the Nasdaq Global Market, or Nasdaq,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we had 83.1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2021, there were outstanding warrants to purchase up to approximately 19.8 million shares of our common stock at a weighted average exercise price of $4.42 per share, and options exercisable for an aggregate of approximately 7.7 million shares of common stock at a weighted average exercise price of $5.47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satisfy all applicable continued listing requirements of the Nasdaq Global Market, including the $1.00 minimum closing bid price requirement, our common stock may be delisted from Nasdaq, which could have an adverse impact on the liquidity and market price of our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is currently listed on the Nasdaq Global Market under the symbol “MRKR.”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16, 2022, we received a notice from Nasdaq that we were not in compliance with Nasdaq’s Listing Rule 5450(a)(1), as the minimum bid price of our common stock had been below $1.00 per share for 30 consecutive business days. We have 180 days, or until August 15, 2022, to regain compliance with the minimum bid price requirement. To regain compliance, the minimum bid price of our common stock must meet or exceed $1.00 per share for a minimum of ten consecutive business days during this 180-calendar day grace period. While we may be able to qualify for additional time to attempt to regain compliance, there can be no assurance that we will qualify for additional time to regain compliance, or that we will regain compliance with or without such additional time. If we do not regain compliance within the allotted compliance period(s), including any extensions that may be granted by Nasdaq, Nasdaq will provide notice that our shares of common stock will be subject to delisting.</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our common stock is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our business, we may collect, store, use, transmit, disclose, or otherwise process proprietary, confidential, and sensitive data, including personal data (such as health-related data regarding clinical trial subjects), intellectual property, and trade secrets. We may rely on third parties (such as service providers and technologies) for our data processing-related activities,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We may share or receive sensitive data with or from third parties.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Cyberattacks, malicious internet-based activity, and online and offline fraud are prevalent and have increased in number and severity recently; it is expected that these trends will continue. These threats come from a variety of sources. In addition to traditional computer “hackers,” threat actors, personnel (such as through theft or misuse), sophisticated nation-states, and nation-state-supported actors now engage in attacks. We and the third parties upon which we rely may be subject to a variety of threats, including, but not limited to, malicious code (such as viruses and worms), social engineering attacks (including through phishing attacks), denial of service attacks (such as credential stuffing), software bugs, server malfunctions, software or hardware failures, unauthorized access, natural disasters, fire, terrorism, successful breaches, personnel malfeasance, or human or technological error, war and telecommunication and electrical failures. Ransomware attacks, including those perpetrated by organized criminal threat actors, nation-states, and nation-state-supported</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actors, are becoming increasingly prevalent and severe, and can lead to significant interruptions in our operations, loss of data, and diversion of funds. Extortion payments may alleviate some of the negative impact of a ransomware attack, but we may be unwilling or unable to make such payments due to, for example, applicable laws or regulations prohibiting such payments. [Additionally, the COVID-19 pandemic poses increased risks to our information technology systems and data, as more of our employees work from home, utilizing network connections outside our premises.]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information technology or data (or those of third parties upon which we rely) are compromised or are perceived to have been compromised,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net operating losses and certain other tax attributes to offset future taxable income may be subject to limitation.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Our NOLs generated in tax years beginning on or prior to December 31, 2017 are permitted to be carried forward for only 20 years under applicable U.S. tax law. Our federal NOLs generated in tax years beginning after December 31, 2017 may be carried forward indefinitely, but the deductibility of federal NOLs generated in tax years beginning after December 31, 2017 is subject to certain limitations. It is uncertain if and to what extent various states will conform to the Tax Act.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For example, the Tax Cuts and Jobs Act, or Tax Act, and the Coronavirus Aid, Relief, and Economic Security Act, or CARES Act, made significant changes to U.S. federal income tax laws.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2021, the fair value of the derivative liability-warrants was $0.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own any real estate or other properties. We lease office space at 3200 Southwest Freeway, Suite 2500, Houston, Texas 77027 on a ten-year agreement set to expire in July 2030, which is our principal business office.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lease office space at 5 West Forsyth Street, Suite 200, Jacksonville, Florida 32202 on a five-year agreement due to expire on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April 2020, we entered into a lease for a research facility in Houston, Texas. The lease term is 71 months.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we entered into a lease for a manufacturing facility in Houston, Texas. The lease term is ten years from rent commencement date, which was in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Other than as described below,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arbitration proceeding was brought against us before the Financial Industry Regulatory Authority, Inc., or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the Company was notified that its motion to vacate the award was denied and the broker was awarded an additional $0.1 million in interest. Post judgment interest will continue to accrue at 1.02% until the judgement is paid.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stock is listed for trading on the Nasdaq Capital Market under the symbol “MRKR”. As of March 1, 2022, we had 398 stockholders of record whom are holding shares. The price of our common stock on March 1, 2022 was $0.46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issuances of unregistered securities during the fourth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2021 and December 31, 2020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licensed the underlying technology for MultiTAA-specific T cell therapy from BCM in March 2018. BCM had utilized the therapy in seven exploratory clinical trials. In these studies, BCM treated over 150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three product candidates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or AML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current clinical development programs are:</w:t>
      </w:r>
    </w:p>
    <w:p>
      <w:pPr>
        <w:spacing w:after="0" w:line="225" w:lineRule="exact"/>
        <w:rPr>
          <w:sz w:val="20"/>
          <w:szCs w:val="20"/>
          <w:color w:val="auto"/>
        </w:rPr>
      </w:pPr>
    </w:p>
    <w:p>
      <w:pPr>
        <w:ind w:left="680" w:hanging="321"/>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MT-401 for the treatment of post-transplant AML, currently in a Phase 2 clinical trial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MT-401-OTS for the treatment of AML, for which we expect to dose the first patient in a Phase 2 clinical trial in 2023</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MT-601 for the treatment of pancreatic cancer, for which we plan to submit an IND to the FDA in 2022 to initiate a Phase 1 trial in 2023</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MT-601 for the treatment of lymphoma, for which we plan to submit an IND to the FDA in 2022 to initiate a Phase 1 trial in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positioned ourselves to be in full control of our research and development and clinical manufacturing needs by establishing a fully validated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16, 2022, we received a notice from the Nasdaq Global Market that we were not in compliance with Nasdaq’s Listing Rule 5450(a)(1), as the minimum bid price of our common stock had been below $1.00 per share for 30 consecutive business days. We have 180 days, or until August 15, 2022, to regain compliance with the minimum bid price requirement. To regain compliance, the minimum bid price of our common stock must meet or exceed $1.00 per share for a minimum of ten consecutive business days during this 180-calendar day grace period. In the event we do not regain compliance with the minimum bid price requirement by August 15, 2022, we may be eligible for an additional 180-calendar day compliance period if we elect to transfer to the Nasdaq Capital Market to take advantage of the additional compliance period offered on that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bid price deficiency during the second compliance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 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7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research and development costs will continue to increase over the next several years due to increased spending on the clinical development and manufacturing of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income tax expense for the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interest income and change in fair value of warrant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(rounded to the thousand except for per share amounts)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together with the changes to those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1,242,000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27,795,000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18,881,000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12,925,000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10,472,000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2,453,000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40,720,000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29,353,000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11,367,000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(39,478,000)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(28,886,000)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(10,592,000)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settlement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(41,879,000)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(28,706,000)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(13,173,000)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50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76,506,000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47,040,000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29,466,000</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generate any revenue during the years ended December 31, 2021 and 2020, respectively, from the sales or licensing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year ended December 31, 2021, we recognized $1.2 million of revenue associated with the CPRIT grant.</w:t>
      </w:r>
    </w:p>
    <w:p>
      <w:pPr>
        <w:spacing w:after="0" w:line="18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the year ended December 31, 2020, we recognized $0.5 million of revenue associated with a grant awarded to Mayo Foundation from the US Department of Defense for the Phase 2 clinical trial of TPIV200 which Mayo paid to us for clinical supplies manufactured by us and provided for the clinical trial funded by the grant. We refer to this grant as the Mayo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incurred during the fiscal year ended December 31, 2021 were $40.7 million compared to $29.4 million in the prior year. Significant changes and expenditures in operating expenses are outlined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increased by 47% to $27.8 million for the year ended December 31, 2021, compared to $18.9 million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$8.9 million in 2021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53"/>
        </w:numPr>
        <w:rPr>
          <w:rFonts w:ascii="Courier New" w:cs="Courier New" w:eastAsia="Courier New" w:hAnsi="Courier New"/>
          <w:sz w:val="16"/>
          <w:szCs w:val="16"/>
          <w:color w:val="auto"/>
        </w:rPr>
      </w:pPr>
      <w:r>
        <w:rPr>
          <w:rFonts w:ascii="Arial" w:cs="Arial" w:eastAsia="Arial" w:hAnsi="Arial"/>
          <w:sz w:val="16"/>
          <w:szCs w:val="16"/>
          <w:color w:val="auto"/>
        </w:rPr>
        <w:t>increase of $2.2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$1.4 million in process development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$1.0 million in sponsored research and consulting expenses from BCM agreements,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$1.1 million in rent, utility and facilities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$1.8 million in clinical trial expenses related to MT-401,</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professional fees,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stock-based compensation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$1.6 million in depreciation expense due to increased capital investments,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increase of $0.3 million of other expenses, and</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decrease of $1.2 million in vaccine-based clinical trial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Included in research and development expenses are expenses related to agreements with BCM.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2018 and February 2020, we entered in Sponsored Research Agreements with BCM, which provided for the conduct of research for us by credentialed personnel at BCM’s Center for Cell and Gene Therapy. During the years ended December 31, 2021 and 2020, we incurred $0.03 million and $0.3 million of expenses related to these agreements,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September 2019, we entered in a Clinical Supply Agreement with BCM, which provided for BCM to provide to us multi tumor antigen specific products. During the years ended December 31, 2021 and 2020, we incurred $1.2 million and $0.6 million related to this agreement,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we entered in a Workforce Grant Agreement with BCM, which provided for BCM to provide to us manpower costs of projects for manufacturing, quality control testing and validation run activities. During the years ended December 31, 2021 and 2020, we incurred $1.1 million and $0.6 million related to this agreement,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entered in a Clinical Trial Agreement with BCM, which provided for BCM to provide to us investigator-initiated research studies. During the years ended December 31, 2021 and 2020, we incurred $0.5 million and $0.3 million related to this agreement,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General and administrative expenses increased by 23% to $12.9 million for the year ended December 31, 2021 from $10.5 million during the prior period. The increase in general and administrative expenses of $2.5 million mainly comprised the following:</w:t>
      </w:r>
    </w:p>
    <w:p>
      <w:pPr>
        <w:spacing w:after="0" w:line="146" w:lineRule="exact"/>
        <w:rPr>
          <w:sz w:val="20"/>
          <w:szCs w:val="20"/>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$0.7 million in headcount-related expenses as we increased the number of administrative personnel,</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rent and utility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insurance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legal and professional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recruiting expenses, and</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Arial" w:cs="Arial" w:eastAsia="Arial" w:hAnsi="Arial"/>
          <w:sz w:val="18"/>
          <w:szCs w:val="18"/>
          <w:color w:val="auto"/>
        </w:rPr>
        <w:t>increase of $0.5 million in stock-based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for the year ended December 31, 2021 was $0 as compared to $31,000 for the fiscal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year ended December 31, 2021. We removed the case to the United States District Court for the Southern District of New York on September 27, 2021. On October 22, 2021, we filed a motion in federal court to vacate the award. On March 9, 2022, the Company was notified that its motion to vacate the award was denied and the broker was awarded an additional $0.1 million in interest. Post judgment interest will continue to accrue at 1.02% until the judgement is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was $6,000 and $0.1 million for the years ended December 31, 2021 and 2020, respectively, and was attributable to interest income relating to funds that are held in U.S. Treasury notes and U.S. government agency-backed securities. As part of the reaction to the COVID-19 pandemic, the Federal Reserve cut rates in mid-March 2020 to a range of 0.0%-0.25%.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our net loss during the year ended December 31, 2021 compared to the year ended December 31,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cash equivalents and restricted cash and working capital as of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43,497,000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21,352,000</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Working capital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33,081,000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18,009,000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(27,280,000)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(20,035,000)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(22,552,000)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2021 was $27.3 million. The use of cash primarily related to our net loss of $41.9 million and a $5.5 million increase from changes in assets and liabilities. This was in addition to $6.0 million of stock-based compensation, $2.1 million of depreciation expense and $1.0 million of right-of-use asset amortization and lease liability accretion.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2020 was $20.0 million. The use of cash primarily related to our net loss of $28.7 million and a $2.4 million increase from changes in assets and liabilities. This was in addition to $5.2 million of stock-based compensation, $0.5 million in depreciation expense and $0.6 million of right-of-use asset amortization and lease liability accretion.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investing activities was $3.1 million and $9.3 million for the purchase of property and equipment and construction in progress for the years ended December 31, 2021 and 2020, respectively. This included the purchase of $1.6 million and $3.4 million of property and equipment as well as $1.6 million and $5.8 million for the purchase of construction in progress for the years ended December 31, 2021 and 2020 respectively.</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2021 purchases of property and equipment were comprised of $1.0 million in laboratory equipment, $0.2 million of computers, software and equipment and $0.3 million of furniture and fixtures and $0.1 million of leasehold improvements. $1.6 million of purchases in construction in progress related to another modular cleanroom and the continued buildout of our manufacturing facility.</w:t>
      </w:r>
    </w:p>
    <w:p>
      <w:pPr>
        <w:spacing w:after="0" w:line="14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2020 purchases of property and equipment were comprised of $2.2 million of laboratory equipment, $0.6 million of computers and equipment, $0.3 million of furniture and fixtures as well as $0.3 million of leasehold improvements. $5.8 million of purchases in construction in progress related to modular cleanrooms and the initial build out of our manufacturing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$52.6 million during the year ended December 31, 2021, primarily due to the net proceeds received from the underwritten public offering.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$6.7 million during the year ended December 31, 2020, mainly due to the sale of 4,113,440 shares of stock under the Purchase Agreement with Aspire Capital that provided proceeds to the Company of approximately $6.2 million, along with $0.5 million of proceeds from the exercise of stock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we issued an aggregate of 32,282,857 shares of our common stock, for net proceeds of $52.6 million pursuant to an underwritten public offering.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CPRIT to support our Phase 2 clinical trial of MT-401. To date, we have received $2.4 million of funds from the CPRIT grant.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we had working capital of $33.1 million, compared to working capital of $18.0 million as of December 31, 2020. Operating expenses incurred during the fiscal year ended December 31, 2021 were $40.7 million compared to $29.4 million in the prior year. Based on our revised clinical and research and development plans and our revised timing expectations related to the progress of our programs, we expect that our cash, cash equivalents and restricted cash as of December 31, 2021 will enable us to fund our operating expenses and capital expenditure requirements into the first quarter of 2023. We have based this estimate on assumptions that may prove to be wrong, and we could utilize our available capital resources sooner than we currently expect. Furthermore, our</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2"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development of our manufacturing capabilities and our manufacturing facility;</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committed to purchase up to an aggregate of $30.0 million of shares of our common stock over the 30-month term of the Purchase Agreement. As of December 31, 2021, Aspire Capital had purchased 4,113,440 shares under the Purchase Agreement, providing aggregate proceeds to the Company of approximately $6.2 million. In consideration for entering into the Purchase Agreement, concurrently with the execution of the Purchase Agreement, the Company issued to Aspire Capital 345,357 shares of the Company’s common stock.</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August 2021, we entered into a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The Sales Agents will be entitled to compensation under the Sales Agreement at a commission rate equal to 3.0% of the gross sales price per share sold under the ATM Agreement, and we have provided each of the Sales Agents with indemnification and contribution rights. To date, we have not sold any shares of our common stock under the ATM Agreement.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an ongoing basis, we evaluate our estimates and judgments, including those related to accrued expenses and stock-based compensation. We base our estimates on historical experience and on various other assumptions that we believe to be reasonable under</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circumstances, the results of which form the basis for making judgments about the carrying values of assets and liabilities and the reported amounts of expenses that are not readily apparent from other sources. Actual results could differ from those estimates, particularly given the significant social and economic disruptions and uncertainties associated with the ongoing coronavirus pandemic and the COVID-19 control responses.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reclassifications have been made to reclass certain non-cash capital expenditures on the consolidated statements of cash flows from a cash outflow from investing activity to a non-cash investing activity. The Company has evaluated the materiality of this correction and concluded it was not material to the previously issued consolidated financial statements and had no impact to the reported consolidated balance sheets, consolidated statements of operations or net loss per share.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2020, this immaterial adjustment had the effect of increasing net cash used in operating activities and decreasing net cash used in investing activities by $1.2 million from what was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 Construction in Progress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will be recorded as either manufacturing equipment and/or leasehold improvements and amortized over the estimated useful life of the asset and/or leasehold lease.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Upon completion and installation of the modular cleanroom, all costs associated with the buildout will be recorded as manufacturing equipment and amortized over the estimated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life of stock options was estimated using the “simplified method,” as the Company has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prices.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 equivalent remaining term.</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pay cash dividends in the foreseeable future, and, therefore, uses an expected dividend yield of zero in its valuation models.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the Financial Accounting Standards Board (“FASB”).</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CPRIT to support our Phase 2 clinical trial of MT-401.</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730-20-25-8,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 The funds received from CPRIT will initially be recorded as a deferred credit in the Company’s balance sheet.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received from grants in advance of incurring qualifying costs is recorded as deferred revenue and recognized as revenue when qualifying costs are incurred. During the fourth quarter of 2021, the Company received $2.4 million advancement of funds in relation to the CPRIT grant. The Company recorded $1.2 million of grant income related to CPRIT grant as revenue for the year ended December 31, 2021. At December 31, 2021 approximately $1.1 million was recorded as deferred revenue on the Company’s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we have approximately $130.5 million of federal and $38.6 million of state net operating loss carryforwards that may be available to offset future taxable income, if any. The federal net operating loss carryforwards of $41.6 million, if not utilized, will expire between 2029 and 2037. The federal net operating loss carryforwards of $88.9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$16.7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and 2020, we recorded a 100% valuation allowance against our deferred tax assets of approximately $36.4 million and $27.6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are incorporated herein by reference to pages F-1 to F-21 at the end of this report and the supplementary data is not applicable.</w:t>
      </w:r>
    </w:p>
    <w:p>
      <w:pPr>
        <w:spacing w:after="0" w:line="166"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changes in, or disagreements with our principal independent accountants.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2021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2021. Based on that evaluation, our principal executive officer and principal financial officer concluded that our disclosure controls and procedures were effective as of December 31, 2021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financial and accounting officer, we conducted an evaluation of the effectiveness of our internal control over financial reporting as of December 31, 2021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during the fiscal quarter ended December 31, 2021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Internal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and not set forth below will be set forth in the sections headed “Election of Directors,” “Executive Officers” and “Delinquent Section 16(a) Reports” in our definitive proxy statement for our 2021 Annual Meeting of Stockholders, or our Proxy Statement, to be filed with the SEC within 120 days after the end of the fiscal year ended December 31, 2021 and is incorporated herein by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herein by reference.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 " and "Information Regarding the Board of Directors and Corporate Governance” in our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“Principal Accountant Fees and Services”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left="560" w:right="20" w:hanging="552"/>
        <w:spacing w:after="0" w:line="277" w:lineRule="auto"/>
        <w:tabs>
          <w:tab w:leader="none" w:pos="6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F-22.</w:t>
      </w:r>
    </w:p>
    <w:p>
      <w:pPr>
        <w:spacing w:after="0" w:line="170" w:lineRule="exact"/>
        <w:rPr>
          <w:rFonts w:ascii="Arial" w:cs="Arial" w:eastAsia="Arial" w:hAnsi="Arial"/>
          <w:sz w:val="18"/>
          <w:szCs w:val="18"/>
          <w:color w:val="auto"/>
        </w:rPr>
      </w:pPr>
    </w:p>
    <w:p>
      <w:pPr>
        <w:ind w:left="560" w:hanging="552"/>
        <w:spacing w:after="0" w:line="277"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is a list of exhibits filed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7"/>
          </w:tcPr>
          <w:p>
            <w:pPr>
              <w:jc w:val="center"/>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number</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6"/>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8"/>
              </w:rPr>
              <w:t>File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20" w:type="dxa"/>
            <w:vAlign w:val="bottom"/>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6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980" w:type="dxa"/>
            <w:vAlign w:val="bottom"/>
            <w:tcBorders>
              <w:bottom w:val="single" w:sz="8" w:color="0000EE"/>
            </w:tcBorders>
            <w:gridSpan w:val="5"/>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Certificate of Incorporation</w:t>
              </w:r>
            </w:hyperlink>
          </w:p>
        </w:tc>
        <w:tc>
          <w:tcPr>
            <w:tcW w:w="1700" w:type="dxa"/>
            <w:vAlign w:val="bottom"/>
            <w:gridSpan w:val="13"/>
          </w:tcPr>
          <w:p>
            <w:pPr>
              <w:spacing w:after="0"/>
              <w:rPr>
                <w:sz w:val="24"/>
                <w:szCs w:val="2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3680" w:type="dxa"/>
            <w:vAlign w:val="bottom"/>
            <w:gridSpan w:val="18"/>
          </w:tcPr>
          <w:p>
            <w:pPr>
              <w:spacing w:after="0"/>
              <w:rPr>
                <w:rFonts w:ascii="Arial" w:cs="Arial" w:eastAsia="Arial" w:hAnsi="Arial"/>
                <w:sz w:val="18"/>
                <w:szCs w:val="18"/>
                <w:color w:val="0000EE"/>
              </w:rPr>
            </w:pPr>
            <w:hyperlink r:id="rId126">
              <w:r>
                <w:rPr>
                  <w:rFonts w:ascii="Arial" w:cs="Arial" w:eastAsia="Arial" w:hAnsi="Arial"/>
                  <w:sz w:val="18"/>
                  <w:szCs w:val="18"/>
                  <w:color w:val="0000EE"/>
                </w:rPr>
                <w:t>Bylaws of Marker Therapeutics, Inc.</w:t>
              </w:r>
            </w:hyperlink>
          </w:p>
        </w:tc>
        <w:tc>
          <w:tcPr>
            <w:tcW w:w="124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rPr>
                <w:sz w:val="20"/>
                <w:szCs w:val="20"/>
                <w:color w:val="auto"/>
              </w:rPr>
            </w:pPr>
            <w:r>
              <w:rPr>
                <w:rFonts w:ascii="Arial" w:cs="Arial" w:eastAsia="Arial" w:hAnsi="Arial"/>
                <w:sz w:val="18"/>
                <w:szCs w:val="18"/>
                <w:color w:val="auto"/>
                <w:w w:val="88"/>
              </w:rPr>
              <w:t>000-37939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24"/>
                <w:szCs w:val="24"/>
                <w:color w:val="auto"/>
              </w:rPr>
            </w:pPr>
          </w:p>
        </w:tc>
        <w:tc>
          <w:tcPr>
            <w:tcW w:w="3680" w:type="dxa"/>
            <w:vAlign w:val="bottom"/>
            <w:gridSpan w:val="18"/>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Common Stock Certificate of Marker</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Therapeutics, Inc.</w:t>
              </w:r>
            </w:hyperlink>
          </w:p>
        </w:tc>
        <w:tc>
          <w:tcPr>
            <w:tcW w:w="2020" w:type="dxa"/>
            <w:vAlign w:val="bottom"/>
            <w:tcBorders>
              <w:top w:val="single" w:sz="8" w:color="0000EE"/>
            </w:tcBorders>
            <w:gridSpan w:val="11"/>
          </w:tcPr>
          <w:p>
            <w:pPr>
              <w:spacing w:after="0"/>
              <w:rPr>
                <w:sz w:val="17"/>
                <w:szCs w:val="17"/>
                <w:color w:val="auto"/>
              </w:rPr>
            </w:pPr>
          </w:p>
        </w:tc>
        <w:tc>
          <w:tcPr>
            <w:tcW w:w="360" w:type="dxa"/>
            <w:vAlign w:val="bottom"/>
            <w:gridSpan w:val="5"/>
          </w:tcPr>
          <w:p>
            <w:pPr>
              <w:spacing w:after="0"/>
              <w:rPr>
                <w:sz w:val="17"/>
                <w:szCs w:val="17"/>
                <w:color w:val="auto"/>
              </w:rPr>
            </w:pPr>
          </w:p>
        </w:tc>
        <w:tc>
          <w:tcPr>
            <w:tcW w:w="1240" w:type="dxa"/>
            <w:vAlign w:val="bottom"/>
            <w:gridSpan w:val="3"/>
          </w:tcPr>
          <w:p>
            <w:pPr>
              <w:jc w:val="center"/>
              <w:ind w:right="620"/>
              <w:spacing w:after="0" w:line="196" w:lineRule="exact"/>
              <w:rPr>
                <w:sz w:val="20"/>
                <w:szCs w:val="20"/>
                <w:color w:val="auto"/>
              </w:rPr>
            </w:pPr>
            <w:r>
              <w:rPr>
                <w:rFonts w:ascii="Arial" w:cs="Arial" w:eastAsia="Arial" w:hAnsi="Arial"/>
                <w:sz w:val="18"/>
                <w:szCs w:val="18"/>
                <w:color w:val="auto"/>
              </w:rPr>
              <w:t>8-A/A</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000-37939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10/17/18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68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100" w:type="dxa"/>
            <w:vAlign w:val="bottom"/>
          </w:tcPr>
          <w:p>
            <w:pPr>
              <w:spacing w:after="0"/>
              <w:rPr>
                <w:sz w:val="24"/>
                <w:szCs w:val="24"/>
                <w:color w:val="auto"/>
              </w:rPr>
            </w:pPr>
          </w:p>
        </w:tc>
        <w:tc>
          <w:tcPr>
            <w:tcW w:w="1780" w:type="dxa"/>
            <w:vAlign w:val="bottom"/>
            <w:tcBorders>
              <w:bottom w:val="single" w:sz="8" w:color="0000EE"/>
            </w:tcBorders>
            <w:gridSpan w:val="4"/>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Marker Warrant</w:t>
              </w:r>
            </w:hyperlink>
          </w:p>
        </w:tc>
        <w:tc>
          <w:tcPr>
            <w:tcW w:w="1900" w:type="dxa"/>
            <w:vAlign w:val="bottom"/>
            <w:gridSpan w:val="14"/>
          </w:tcPr>
          <w:p>
            <w:pPr>
              <w:spacing w:after="0"/>
              <w:rPr>
                <w:sz w:val="24"/>
                <w:szCs w:val="2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5/15/18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100" w:type="dxa"/>
            <w:vAlign w:val="bottom"/>
          </w:tcPr>
          <w:p>
            <w:pPr>
              <w:spacing w:after="0"/>
              <w:rPr>
                <w:sz w:val="24"/>
                <w:szCs w:val="24"/>
                <w:color w:val="auto"/>
              </w:rPr>
            </w:pPr>
          </w:p>
        </w:tc>
        <w:tc>
          <w:tcPr>
            <w:tcW w:w="2980" w:type="dxa"/>
            <w:vAlign w:val="bottom"/>
            <w:tcBorders>
              <w:bottom w:val="single" w:sz="8" w:color="0000EE"/>
            </w:tcBorders>
            <w:gridSpan w:val="12"/>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Description of Common Stock of Marker</w:t>
              </w:r>
            </w:hyperlink>
          </w:p>
        </w:tc>
        <w:tc>
          <w:tcPr>
            <w:tcW w:w="7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Therapeutics, Inc.</w:t>
              </w:r>
            </w:hyperlink>
          </w:p>
        </w:tc>
        <w:tc>
          <w:tcPr>
            <w:tcW w:w="2380" w:type="dxa"/>
            <w:vAlign w:val="bottom"/>
            <w:gridSpan w:val="16"/>
          </w:tcPr>
          <w:p>
            <w:pPr>
              <w:spacing w:after="0"/>
              <w:rPr>
                <w:sz w:val="17"/>
                <w:szCs w:val="17"/>
                <w:color w:val="auto"/>
              </w:rPr>
            </w:pPr>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94"/>
              </w:rPr>
              <w:t>10-K</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4.25</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3/12/20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3680" w:type="dxa"/>
            <w:vAlign w:val="bottom"/>
            <w:gridSpan w:val="18"/>
          </w:tcPr>
          <w:p>
            <w:pPr>
              <w:spacing w:after="0"/>
              <w:rPr>
                <w:rFonts w:ascii="Arial" w:cs="Arial" w:eastAsia="Arial" w:hAnsi="Arial"/>
                <w:sz w:val="18"/>
                <w:szCs w:val="18"/>
                <w:color w:val="0000EE"/>
                <w:w w:val="94"/>
              </w:rPr>
            </w:pPr>
            <w:hyperlink r:id="rId130">
              <w:r>
                <w:rPr>
                  <w:rFonts w:ascii="Arial" w:cs="Arial" w:eastAsia="Arial" w:hAnsi="Arial"/>
                  <w:sz w:val="18"/>
                  <w:szCs w:val="18"/>
                  <w:color w:val="0000EE"/>
                  <w:w w:val="94"/>
                </w:rPr>
                <w:t>Form of Restructuring Agreement dated May 28,</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0">
              <w:r>
                <w:rPr>
                  <w:rFonts w:ascii="Arial" w:cs="Arial" w:eastAsia="Arial" w:hAnsi="Arial"/>
                  <w:sz w:val="18"/>
                  <w:szCs w:val="18"/>
                  <w:color w:val="0000EE"/>
                  <w:w w:val="84"/>
                </w:rPr>
                <w:t>2015</w:t>
              </w:r>
            </w:hyperlink>
          </w:p>
        </w:tc>
        <w:tc>
          <w:tcPr>
            <w:tcW w:w="9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6/3/15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Amended and Restated Restructuring</w:t>
              </w:r>
            </w:hyperlink>
          </w:p>
        </w:tc>
        <w:tc>
          <w:tcPr>
            <w:tcW w:w="98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8"/>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Agreement, dated as of June 2, 2015</w:t>
              </w:r>
            </w:hyperlink>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6/5/15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Form of Securities Purchase Agreement</w:t>
              </w:r>
            </w:hyperlink>
          </w:p>
        </w:tc>
        <w:tc>
          <w:tcPr>
            <w:tcW w:w="80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(including registration rights)</w:t>
              </w:r>
            </w:hyperlink>
          </w:p>
        </w:tc>
        <w:tc>
          <w:tcPr>
            <w:tcW w:w="1560" w:type="dxa"/>
            <w:vAlign w:val="bottom"/>
            <w:gridSpan w:val="12"/>
          </w:tcPr>
          <w:p>
            <w:pPr>
              <w:spacing w:after="0"/>
              <w:rPr>
                <w:sz w:val="17"/>
                <w:szCs w:val="17"/>
                <w:color w:val="auto"/>
              </w:rPr>
            </w:pPr>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6/8/18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Registration Rights Agreement</w:t>
              </w:r>
            </w:hyperlink>
          </w:p>
        </w:tc>
        <w:tc>
          <w:tcPr>
            <w:tcW w:w="1440" w:type="dxa"/>
            <w:vAlign w:val="bottom"/>
            <w:gridSpan w:val="11"/>
          </w:tcPr>
          <w:p>
            <w:pPr>
              <w:spacing w:after="0"/>
              <w:rPr>
                <w:sz w:val="24"/>
                <w:szCs w:val="2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8-K</w:t>
            </w:r>
          </w:p>
        </w:tc>
        <w:tc>
          <w:tcPr>
            <w:tcW w:w="1640" w:type="dxa"/>
            <w:vAlign w:val="bottom"/>
          </w:tcPr>
          <w:p>
            <w:pPr>
              <w:jc w:val="center"/>
              <w:ind w:right="430"/>
              <w:spacing w:after="0"/>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5/15/18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License and Assignment Agreement, dated July</w:t>
              </w:r>
            </w:hyperlink>
          </w:p>
        </w:tc>
        <w:tc>
          <w:tcPr>
            <w:tcW w:w="24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21, 2015, with The Mayo Foundation for</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Medical Education and Research**</w:t>
              </w:r>
            </w:hyperlink>
          </w:p>
        </w:tc>
        <w:tc>
          <w:tcPr>
            <w:tcW w:w="320" w:type="dxa"/>
            <w:vAlign w:val="bottom"/>
            <w:tcBorders>
              <w:top w:val="single" w:sz="8" w:color="0000EE"/>
            </w:tcBorders>
            <w:gridSpan w:val="3"/>
          </w:tcPr>
          <w:p>
            <w:pPr>
              <w:spacing w:after="0"/>
              <w:rPr>
                <w:sz w:val="17"/>
                <w:szCs w:val="17"/>
                <w:color w:val="auto"/>
              </w:rPr>
            </w:pPr>
          </w:p>
        </w:tc>
        <w:tc>
          <w:tcPr>
            <w:tcW w:w="740" w:type="dxa"/>
            <w:vAlign w:val="bottom"/>
            <w:gridSpan w:val="7"/>
          </w:tcPr>
          <w:p>
            <w:pPr>
              <w:spacing w:after="0"/>
              <w:rPr>
                <w:sz w:val="17"/>
                <w:szCs w:val="17"/>
                <w:color w:val="auto"/>
              </w:rPr>
            </w:pPr>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8/14/15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3680" w:type="dxa"/>
            <w:vAlign w:val="bottom"/>
            <w:gridSpan w:val="18"/>
          </w:tcPr>
          <w:p>
            <w:pPr>
              <w:spacing w:after="0"/>
              <w:rPr>
                <w:rFonts w:ascii="Arial" w:cs="Arial" w:eastAsia="Arial" w:hAnsi="Arial"/>
                <w:sz w:val="18"/>
                <w:szCs w:val="18"/>
                <w:color w:val="0000EE"/>
                <w:w w:val="97"/>
              </w:rPr>
            </w:pPr>
            <w:hyperlink r:id="rId134">
              <w:r>
                <w:rPr>
                  <w:rFonts w:ascii="Arial" w:cs="Arial" w:eastAsia="Arial" w:hAnsi="Arial"/>
                  <w:sz w:val="18"/>
                  <w:szCs w:val="18"/>
                  <w:color w:val="0000EE"/>
                  <w:w w:val="97"/>
                </w:rPr>
                <w:t>License and Assignment Agreement with Mayo</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82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Foundation for Medical Education and Research</w:t>
              </w:r>
            </w:hyperlink>
          </w:p>
        </w:tc>
        <w:tc>
          <w:tcPr>
            <w:tcW w:w="1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dated May 19, 2016**</w:t>
              </w:r>
            </w:hyperlink>
          </w:p>
        </w:tc>
        <w:tc>
          <w:tcPr>
            <w:tcW w:w="12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8/15/16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780" w:type="dxa"/>
            <w:vAlign w:val="bottom"/>
            <w:tcBorders>
              <w:top w:val="single" w:sz="8" w:color="0000EE"/>
              <w:bottom w:val="single" w:sz="8" w:color="0000EE"/>
            </w:tcBorders>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number</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4"/>
          </w:tcPr>
          <w:p>
            <w:pPr>
              <w:ind w:left="18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3340" w:type="dxa"/>
            <w:vAlign w:val="bottom"/>
            <w:tcBorders>
              <w:bottom w:val="single" w:sz="8" w:color="0000EE"/>
            </w:tcBorders>
            <w:gridSpan w:val="20"/>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Exclusive License Agreement between Baylor</w:t>
              </w:r>
            </w:hyperlink>
          </w:p>
        </w:tc>
        <w:tc>
          <w:tcPr>
            <w:tcW w:w="34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College of Medicine and Marker Therapeutics,</w:t>
              </w:r>
            </w:hyperlink>
          </w:p>
        </w:tc>
        <w:tc>
          <w:tcPr>
            <w:tcW w:w="3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Inc. dated March 16, 2018***</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17"/>
                <w:szCs w:val="17"/>
                <w:color w:val="auto"/>
              </w:rPr>
            </w:pPr>
          </w:p>
        </w:tc>
        <w:tc>
          <w:tcPr>
            <w:tcW w:w="33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Sponsored Research Contract between Baylor</w:t>
              </w:r>
            </w:hyperlink>
          </w:p>
        </w:tc>
        <w:tc>
          <w:tcPr>
            <w:tcW w:w="36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College of Medicine and Marker Therapeutics,</w:t>
              </w:r>
            </w:hyperlink>
          </w:p>
        </w:tc>
        <w:tc>
          <w:tcPr>
            <w:tcW w:w="3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 dated November 16, 2018***</w:t>
              </w:r>
            </w:hyperlink>
          </w:p>
        </w:tc>
        <w:tc>
          <w:tcPr>
            <w:tcW w:w="1220" w:type="dxa"/>
            <w:vAlign w:val="bottom"/>
            <w:gridSpan w:val="18"/>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3680" w:type="dxa"/>
            <w:vAlign w:val="bottom"/>
            <w:gridSpan w:val="29"/>
          </w:tcPr>
          <w:p>
            <w:pPr>
              <w:spacing w:after="0"/>
              <w:rPr>
                <w:rFonts w:ascii="Arial" w:cs="Arial" w:eastAsia="Arial" w:hAnsi="Arial"/>
                <w:sz w:val="18"/>
                <w:szCs w:val="18"/>
                <w:color w:val="0000EE"/>
              </w:rPr>
            </w:pPr>
            <w:hyperlink r:id="rId137">
              <w:r>
                <w:rPr>
                  <w:rFonts w:ascii="Arial" w:cs="Arial" w:eastAsia="Arial" w:hAnsi="Arial"/>
                  <w:sz w:val="18"/>
                  <w:szCs w:val="18"/>
                  <w:color w:val="0000EE"/>
                </w:rPr>
                <w:t>2009 Stock Incentive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DEF14-</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0"/>
                <w:szCs w:val="2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B</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1/29/10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2014 Omnibus Stock Ownership Plan, as</w:t>
              </w:r>
            </w:hyperlink>
          </w:p>
        </w:tc>
        <w:tc>
          <w:tcPr>
            <w:tcW w:w="720" w:type="dxa"/>
            <w:vAlign w:val="bottom"/>
            <w:gridSpan w:val="15"/>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amended through August 29, 2017*</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9/5/17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3480" w:type="dxa"/>
            <w:vAlign w:val="bottom"/>
            <w:tcBorders>
              <w:bottom w:val="single" w:sz="8" w:color="0000EE"/>
            </w:tcBorders>
            <w:gridSpan w:val="25"/>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Amendment to 2014 Omnibus Stock Ownership</w:t>
              </w:r>
            </w:hyperlink>
          </w:p>
        </w:tc>
        <w:tc>
          <w:tcPr>
            <w:tcW w:w="20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Plan, as amended *</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10/17/18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3100" w:type="dxa"/>
            <w:vAlign w:val="bottom"/>
            <w:tcBorders>
              <w:bottom w:val="single" w:sz="8" w:color="0000EE"/>
            </w:tcBorders>
            <w:gridSpan w:val="17"/>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Stock Option Award Agreement –</w:t>
              </w:r>
            </w:hyperlink>
          </w:p>
        </w:tc>
        <w:tc>
          <w:tcPr>
            <w:tcW w:w="5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Employee*</w:t>
              </w:r>
            </w:hyperlink>
          </w:p>
        </w:tc>
        <w:tc>
          <w:tcPr>
            <w:tcW w:w="2860" w:type="dxa"/>
            <w:vAlign w:val="bottom"/>
            <w:gridSpan w:val="26"/>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10/23/18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3500" w:type="dxa"/>
            <w:vAlign w:val="bottom"/>
            <w:tcBorders>
              <w:bottom w:val="single" w:sz="8" w:color="0000EE"/>
            </w:tcBorders>
            <w:gridSpan w:val="26"/>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Stock Option Award Agreement – Non-</w:t>
              </w:r>
            </w:hyperlink>
          </w:p>
        </w:tc>
        <w:tc>
          <w:tcPr>
            <w:tcW w:w="1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Employee Director*</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5"/>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333-228056</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10/30/18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3100" w:type="dxa"/>
            <w:vAlign w:val="bottom"/>
            <w:tcBorders>
              <w:bottom w:val="single" w:sz="8" w:color="0000EE"/>
            </w:tcBorders>
            <w:gridSpan w:val="17"/>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Form of Stock Option Award Agreement –</w:t>
              </w:r>
            </w:hyperlink>
          </w:p>
        </w:tc>
        <w:tc>
          <w:tcPr>
            <w:tcW w:w="5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Consultant*</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10/23/18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3320" w:type="dxa"/>
            <w:vAlign w:val="bottom"/>
            <w:tcBorders>
              <w:bottom w:val="single" w:sz="8" w:color="0000EE"/>
            </w:tcBorders>
            <w:gridSpan w:val="19"/>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Form of Restricted Stock Award Agreement –</w:t>
              </w:r>
            </w:hyperlink>
          </w:p>
        </w:tc>
        <w:tc>
          <w:tcPr>
            <w:tcW w:w="36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Consultant*</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9"/>
              </w:rPr>
              <w:t>10-Q</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11/16/15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3680" w:type="dxa"/>
            <w:vAlign w:val="bottom"/>
            <w:gridSpan w:val="29"/>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Employment Agreement between TapImmune</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Inc. and Peter Hoang dated as of September 22,</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2017*</w:t>
              </w:r>
            </w:hyperlink>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9/25/17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3680" w:type="dxa"/>
            <w:vAlign w:val="bottom"/>
            <w:gridSpan w:val="29"/>
          </w:tcPr>
          <w:p>
            <w:pPr>
              <w:spacing w:after="0"/>
              <w:rPr>
                <w:rFonts w:ascii="Arial" w:cs="Arial" w:eastAsia="Arial" w:hAnsi="Arial"/>
                <w:sz w:val="18"/>
                <w:szCs w:val="18"/>
                <w:color w:val="0000EE"/>
              </w:rPr>
            </w:pPr>
            <w:hyperlink r:id="rId145">
              <w:r>
                <w:rPr>
                  <w:rFonts w:ascii="Arial" w:cs="Arial" w:eastAsia="Arial" w:hAnsi="Arial"/>
                  <w:sz w:val="18"/>
                  <w:szCs w:val="18"/>
                  <w:color w:val="0000EE"/>
                </w:rPr>
                <w:t>Employment Agreement by and between</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TapImmune Inc. and Michael J. Loiacono dated</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as of August 25, 2016*</w:t>
              </w:r>
            </w:hyperlink>
          </w:p>
        </w:tc>
        <w:tc>
          <w:tcPr>
            <w:tcW w:w="1760" w:type="dxa"/>
            <w:vAlign w:val="bottom"/>
            <w:tcBorders>
              <w:top w:val="single" w:sz="8" w:color="0000EE"/>
            </w:tcBorders>
            <w:gridSpan w:val="15"/>
          </w:tcPr>
          <w:p>
            <w:pPr>
              <w:spacing w:after="0"/>
              <w:rPr>
                <w:sz w:val="17"/>
                <w:szCs w:val="17"/>
                <w:color w:val="auto"/>
              </w:rPr>
            </w:pPr>
          </w:p>
        </w:tc>
        <w:tc>
          <w:tcPr>
            <w:tcW w:w="240" w:type="dxa"/>
            <w:vAlign w:val="bottom"/>
            <w:gridSpan w:val="6"/>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8/25/16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3540" w:type="dxa"/>
            <w:vAlign w:val="bottom"/>
            <w:tcBorders>
              <w:bottom w:val="single" w:sz="8" w:color="0000EE"/>
            </w:tcBorders>
            <w:gridSpan w:val="27"/>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Amendment to Employment Agreement between</w:t>
              </w:r>
            </w:hyperlink>
          </w:p>
        </w:tc>
        <w:tc>
          <w:tcPr>
            <w:tcW w:w="1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Marker Therapeutics, Inc. and Michael J.</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Loiacono dated as of November 27, 2018*</w:t>
              </w:r>
            </w:hyperlink>
          </w:p>
        </w:tc>
        <w:tc>
          <w:tcPr>
            <w:tcW w:w="600" w:type="dxa"/>
            <w:vAlign w:val="bottom"/>
            <w:gridSpan w:val="13"/>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12/3/18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3000" w:type="dxa"/>
            <w:vAlign w:val="bottom"/>
            <w:tcBorders>
              <w:bottom w:val="single" w:sz="8" w:color="0000EE"/>
            </w:tcBorders>
            <w:gridSpan w:val="15"/>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Employment Agreement between Marker</w:t>
              </w:r>
            </w:hyperlink>
          </w:p>
        </w:tc>
        <w:tc>
          <w:tcPr>
            <w:tcW w:w="680" w:type="dxa"/>
            <w:vAlign w:val="bottom"/>
            <w:gridSpan w:val="14"/>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Therapeutics, Inc. and Anthony Kim dated as of</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November 27, 2018*</w:t>
              </w:r>
            </w:hyperlink>
          </w:p>
        </w:tc>
        <w:tc>
          <w:tcPr>
            <w:tcW w:w="220" w:type="dxa"/>
            <w:vAlign w:val="bottom"/>
            <w:gridSpan w:val="5"/>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12/3/18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3320" w:type="dxa"/>
            <w:vAlign w:val="bottom"/>
            <w:tcBorders>
              <w:bottom w:val="single" w:sz="8" w:color="0000EE"/>
            </w:tcBorders>
            <w:gridSpan w:val="19"/>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Consulting Agreement between Dr. Juan Vera</w:t>
              </w:r>
            </w:hyperlink>
          </w:p>
        </w:tc>
        <w:tc>
          <w:tcPr>
            <w:tcW w:w="36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9"/>
          </w:tcPr>
          <w:p>
            <w:pPr>
              <w:spacing w:after="0" w:line="196"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and Marker Therapeutics, Inc. dated October 19,</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2018*</w:t>
              </w:r>
            </w:hyperlink>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10/23/18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3680" w:type="dxa"/>
            <w:vAlign w:val="bottom"/>
            <w:gridSpan w:val="29"/>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Director and Officer Indemnification</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Agreement*</w:t>
              </w:r>
            </w:hyperlink>
          </w:p>
        </w:tc>
        <w:tc>
          <w:tcPr>
            <w:tcW w:w="400" w:type="dxa"/>
            <w:vAlign w:val="bottom"/>
            <w:gridSpan w:val="11"/>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3"/>
              </w:rPr>
              <w:t>10.39</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446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780" w:type="dxa"/>
            <w:vAlign w:val="bottom"/>
            <w:tcBorders>
              <w:top w:val="single" w:sz="8" w:color="0000EE"/>
              <w:bottom w:val="single" w:sz="8" w:color="0000EE"/>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Filing</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4"/>
          </w:tcPr>
          <w:p>
            <w:pPr>
              <w:ind w:left="54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601"/>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24"/>
                <w:szCs w:val="24"/>
                <w:color w:val="auto"/>
              </w:rPr>
            </w:pPr>
          </w:p>
        </w:tc>
        <w:tc>
          <w:tcPr>
            <w:tcW w:w="3540" w:type="dxa"/>
            <w:vAlign w:val="bottom"/>
            <w:tcBorders>
              <w:bottom w:val="single" w:sz="8" w:color="0000EE"/>
            </w:tcBorders>
            <w:gridSpan w:val="2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Amendment to Employment Agreement between</w:t>
              </w:r>
            </w:hyperlink>
          </w:p>
        </w:tc>
        <w:tc>
          <w:tcPr>
            <w:tcW w:w="1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Marker Therapeutics, Inc. and Peter Hoang,</w:t>
              </w:r>
            </w:hyperlink>
          </w:p>
        </w:tc>
        <w:tc>
          <w:tcPr>
            <w:tcW w:w="52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7"/>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dated March 14, 2019*</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3"/>
              </w:rPr>
              <w:t>10.40</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24"/>
                <w:szCs w:val="24"/>
                <w:color w:val="auto"/>
              </w:rPr>
            </w:pPr>
          </w:p>
        </w:tc>
        <w:tc>
          <w:tcPr>
            <w:tcW w:w="3000" w:type="dxa"/>
            <w:vAlign w:val="bottom"/>
            <w:tcBorders>
              <w:bottom w:val="single" w:sz="8" w:color="0000EE"/>
            </w:tcBorders>
            <w:gridSpan w:val="15"/>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Employment Agreement between Marker</w:t>
              </w:r>
            </w:hyperlink>
          </w:p>
        </w:tc>
        <w:tc>
          <w:tcPr>
            <w:tcW w:w="6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Therapeutics, Inc. and Mythili Koneru, dated</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February 6, 2019.*</w:t>
              </w:r>
            </w:hyperlink>
          </w:p>
        </w:tc>
        <w:tc>
          <w:tcPr>
            <w:tcW w:w="440" w:type="dxa"/>
            <w:vAlign w:val="bottom"/>
            <w:gridSpan w:val="8"/>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9"/>
              </w:rPr>
              <w:t>10-Q</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5/10/19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4"/>
                <w:szCs w:val="24"/>
                <w:color w:val="auto"/>
              </w:rPr>
            </w:pPr>
          </w:p>
        </w:tc>
        <w:tc>
          <w:tcPr>
            <w:tcW w:w="3520" w:type="dxa"/>
            <w:vAlign w:val="bottom"/>
            <w:tcBorders>
              <w:bottom w:val="single" w:sz="8" w:color="0000EE"/>
            </w:tcBorders>
            <w:gridSpan w:val="24"/>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Marker Therapeutics, Inc. 2020 Equity Incentive</w:t>
              </w:r>
            </w:hyperlink>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153">
              <w:r>
                <w:rPr>
                  <w:rFonts w:ascii="Arial" w:cs="Arial" w:eastAsia="Arial" w:hAnsi="Arial"/>
                  <w:sz w:val="18"/>
                  <w:szCs w:val="18"/>
                  <w:color w:val="0000EE"/>
                  <w:w w:val="83"/>
                </w:rPr>
                <w:t>Plan</w:t>
              </w:r>
            </w:hyperlink>
          </w:p>
        </w:tc>
        <w:tc>
          <w:tcPr>
            <w:tcW w:w="3360" w:type="dxa"/>
            <w:vAlign w:val="bottom"/>
            <w:gridSpan w:val="26"/>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5"/>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333-239136</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6/12/20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4"/>
                <w:szCs w:val="24"/>
                <w:color w:val="auto"/>
              </w:rPr>
            </w:pPr>
          </w:p>
        </w:tc>
        <w:tc>
          <w:tcPr>
            <w:tcW w:w="3680" w:type="dxa"/>
            <w:vAlign w:val="bottom"/>
            <w:gridSpan w:val="27"/>
          </w:tcPr>
          <w:p>
            <w:pPr>
              <w:spacing w:after="0"/>
              <w:rPr>
                <w:rFonts w:ascii="Arial" w:cs="Arial" w:eastAsia="Arial" w:hAnsi="Arial"/>
                <w:sz w:val="18"/>
                <w:szCs w:val="18"/>
                <w:color w:val="0000EE"/>
              </w:rPr>
            </w:pPr>
            <w:hyperlink r:id="rId154">
              <w:r>
                <w:rPr>
                  <w:rFonts w:ascii="Arial" w:cs="Arial" w:eastAsia="Arial" w:hAnsi="Arial"/>
                  <w:sz w:val="18"/>
                  <w:szCs w:val="18"/>
                  <w:color w:val="0000EE"/>
                </w:rPr>
                <w:t>Form of Stock Option Grant Notice and Stock</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Option Agreement under the Marker</w:t>
              </w:r>
            </w:hyperlink>
          </w:p>
        </w:tc>
        <w:tc>
          <w:tcPr>
            <w:tcW w:w="660" w:type="dxa"/>
            <w:vAlign w:val="bottom"/>
            <w:tcBorders>
              <w:top w:val="single" w:sz="8" w:color="0000EE"/>
            </w:tcBorders>
            <w:gridSpan w:val="7"/>
          </w:tcPr>
          <w:p>
            <w:pPr>
              <w:spacing w:after="0"/>
              <w:rPr>
                <w:sz w:val="17"/>
                <w:szCs w:val="17"/>
                <w:color w:val="auto"/>
              </w:rPr>
            </w:pPr>
          </w:p>
        </w:tc>
        <w:tc>
          <w:tcPr>
            <w:tcW w:w="3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7"/>
          </w:tcPr>
          <w:p>
            <w:pPr>
              <w:spacing w:after="0" w:line="196"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Therapeutics, Inc. 2020 Equity Incentive Plan.</w:t>
              </w:r>
            </w:hyperlink>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9"/>
              </w:rPr>
              <w:t>10-Q</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24"/>
                <w:szCs w:val="24"/>
                <w:color w:val="auto"/>
              </w:rPr>
            </w:pPr>
          </w:p>
        </w:tc>
        <w:tc>
          <w:tcPr>
            <w:tcW w:w="3680" w:type="dxa"/>
            <w:vAlign w:val="bottom"/>
            <w:gridSpan w:val="27"/>
          </w:tcPr>
          <w:p>
            <w:pPr>
              <w:spacing w:after="0"/>
              <w:rPr>
                <w:rFonts w:ascii="Arial" w:cs="Arial" w:eastAsia="Arial" w:hAnsi="Arial"/>
                <w:sz w:val="18"/>
                <w:szCs w:val="18"/>
                <w:color w:val="0000EE"/>
                <w:w w:val="97"/>
              </w:rPr>
            </w:pPr>
            <w:hyperlink r:id="rId155">
              <w:r>
                <w:rPr>
                  <w:rFonts w:ascii="Arial" w:cs="Arial" w:eastAsia="Arial" w:hAnsi="Arial"/>
                  <w:sz w:val="18"/>
                  <w:szCs w:val="18"/>
                  <w:color w:val="0000EE"/>
                  <w:w w:val="97"/>
                </w:rPr>
                <w:t>Form of Restricted Stock Unit Grant Notice and</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Restricted Stock Unit Award Agreement under</w:t>
              </w:r>
            </w:hyperlink>
          </w:p>
        </w:tc>
        <w:tc>
          <w:tcPr>
            <w:tcW w:w="2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top w:val="single" w:sz="8" w:color="0000EE"/>
            </w:tcBorders>
            <w:gridSpan w:val="22"/>
          </w:tcPr>
          <w:p>
            <w:pPr>
              <w:spacing w:after="0" w:line="196"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the Marker Therapeutics, Inc. 2020 Equity</w:t>
              </w:r>
            </w:hyperlink>
          </w:p>
        </w:tc>
        <w:tc>
          <w:tcPr>
            <w:tcW w:w="3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Incentive Plan.</w:t>
              </w:r>
            </w:hyperlink>
          </w:p>
        </w:tc>
        <w:tc>
          <w:tcPr>
            <w:tcW w:w="1980" w:type="dxa"/>
            <w:vAlign w:val="bottom"/>
            <w:tcBorders>
              <w:top w:val="single" w:sz="8" w:color="0000EE"/>
            </w:tcBorders>
            <w:gridSpan w:val="13"/>
          </w:tcPr>
          <w:p>
            <w:pPr>
              <w:spacing w:after="0"/>
              <w:rPr>
                <w:sz w:val="17"/>
                <w:szCs w:val="17"/>
                <w:color w:val="auto"/>
              </w:rPr>
            </w:pPr>
          </w:p>
        </w:tc>
        <w:tc>
          <w:tcPr>
            <w:tcW w:w="620" w:type="dxa"/>
            <w:vAlign w:val="bottom"/>
            <w:gridSpan w:val="11"/>
          </w:tcPr>
          <w:p>
            <w:pPr>
              <w:spacing w:after="0"/>
              <w:rPr>
                <w:sz w:val="17"/>
                <w:szCs w:val="17"/>
                <w:color w:val="auto"/>
              </w:rPr>
            </w:pPr>
          </w:p>
        </w:tc>
        <w:tc>
          <w:tcPr>
            <w:tcW w:w="7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9"/>
              </w:rPr>
              <w:t>10-Q</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001-37939</w:t>
            </w: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4"/>
                <w:szCs w:val="24"/>
                <w:color w:val="auto"/>
              </w:rPr>
            </w:pPr>
          </w:p>
        </w:tc>
        <w:tc>
          <w:tcPr>
            <w:tcW w:w="3680" w:type="dxa"/>
            <w:vAlign w:val="bottom"/>
            <w:gridSpan w:val="27"/>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Common Stock Purchase Warrant</w:t>
              </w:r>
            </w:hyperlink>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8/14/14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1/12/15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Stock Purchase Warrants-Series A</w:t>
              </w:r>
            </w:hyperlink>
          </w:p>
        </w:tc>
        <w:tc>
          <w:tcPr>
            <w:tcW w:w="1200" w:type="dxa"/>
            <w:vAlign w:val="bottom"/>
            <w:gridSpan w:val="19"/>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1/12/15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58">
              <w:r>
                <w:rPr>
                  <w:rFonts w:ascii="Arial" w:cs="Arial" w:eastAsia="Arial" w:hAnsi="Arial"/>
                  <w:sz w:val="18"/>
                  <w:szCs w:val="18"/>
                  <w:color w:val="0000EE"/>
                  <w:w w:val="87"/>
                </w:rPr>
                <w:t>Stock Purchase Warrants-Series C</w:t>
              </w:r>
            </w:hyperlink>
          </w:p>
        </w:tc>
        <w:tc>
          <w:tcPr>
            <w:tcW w:w="1220" w:type="dxa"/>
            <w:vAlign w:val="bottom"/>
            <w:gridSpan w:val="20"/>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1/12/15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Stock Purchase Warrants-Series D</w:t>
              </w:r>
            </w:hyperlink>
          </w:p>
        </w:tc>
        <w:tc>
          <w:tcPr>
            <w:tcW w:w="1200" w:type="dxa"/>
            <w:vAlign w:val="bottom"/>
            <w:gridSpan w:val="19"/>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1/12/15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27"/>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Stock Purchase Warrants-Series E</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3/10/15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Stock Purchase Warrants-Series A-1</w:t>
              </w:r>
            </w:hyperlink>
          </w:p>
        </w:tc>
        <w:tc>
          <w:tcPr>
            <w:tcW w:w="104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4"/>
                <w:szCs w:val="24"/>
                <w:color w:val="auto"/>
              </w:rPr>
            </w:pP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Form of Placement Agent Warrant Common</w:t>
              </w:r>
            </w:hyperlink>
          </w:p>
        </w:tc>
        <w:tc>
          <w:tcPr>
            <w:tcW w:w="480" w:type="dxa"/>
            <w:vAlign w:val="bottom"/>
            <w:gridSpan w:val="9"/>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3/10/15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62">
              <w:r>
                <w:rPr>
                  <w:rFonts w:ascii="Arial" w:cs="Arial" w:eastAsia="Arial" w:hAnsi="Arial"/>
                  <w:sz w:val="18"/>
                  <w:szCs w:val="18"/>
                  <w:color w:val="0000EE"/>
                  <w:w w:val="87"/>
                </w:rPr>
                <w:t>Stock Purchase Warrants-Series E-1</w:t>
              </w:r>
            </w:hyperlink>
          </w:p>
        </w:tc>
        <w:tc>
          <w:tcPr>
            <w:tcW w:w="108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0" w:type="dxa"/>
            <w:vAlign w:val="bottom"/>
          </w:tcPr>
          <w:p>
            <w:pPr>
              <w:spacing w:after="0"/>
              <w:rPr>
                <w:sz w:val="24"/>
                <w:szCs w:val="24"/>
                <w:color w:val="auto"/>
              </w:rPr>
            </w:pPr>
          </w:p>
        </w:tc>
        <w:tc>
          <w:tcPr>
            <w:tcW w:w="2620" w:type="dxa"/>
            <w:vAlign w:val="bottom"/>
            <w:tcBorders>
              <w:bottom w:val="single" w:sz="8" w:color="0000EE"/>
            </w:tcBorders>
            <w:gridSpan w:val="11"/>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Form of Amended Series A Warrant</w:t>
              </w:r>
            </w:hyperlink>
          </w:p>
        </w:tc>
        <w:tc>
          <w:tcPr>
            <w:tcW w:w="1060" w:type="dxa"/>
            <w:vAlign w:val="bottom"/>
            <w:gridSpan w:val="16"/>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4"/>
                <w:szCs w:val="24"/>
                <w:color w:val="auto"/>
              </w:rPr>
            </w:pPr>
          </w:p>
        </w:tc>
        <w:tc>
          <w:tcPr>
            <w:tcW w:w="2600" w:type="dxa"/>
            <w:vAlign w:val="bottom"/>
            <w:tcBorders>
              <w:bottom w:val="single" w:sz="8" w:color="0000EE"/>
            </w:tcBorders>
            <w:gridSpan w:val="10"/>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Form of Amended Series C Warrant</w:t>
              </w:r>
            </w:hyperlink>
          </w:p>
        </w:tc>
        <w:tc>
          <w:tcPr>
            <w:tcW w:w="1080" w:type="dxa"/>
            <w:vAlign w:val="bottom"/>
            <w:gridSpan w:val="17"/>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4"/>
                <w:szCs w:val="24"/>
                <w:color w:val="auto"/>
              </w:rPr>
            </w:pPr>
          </w:p>
        </w:tc>
        <w:tc>
          <w:tcPr>
            <w:tcW w:w="2620" w:type="dxa"/>
            <w:vAlign w:val="bottom"/>
            <w:tcBorders>
              <w:bottom w:val="single" w:sz="8" w:color="0000EE"/>
            </w:tcBorders>
            <w:gridSpan w:val="11"/>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Amended Series D Warrant</w:t>
              </w:r>
            </w:hyperlink>
          </w:p>
        </w:tc>
        <w:tc>
          <w:tcPr>
            <w:tcW w:w="1060" w:type="dxa"/>
            <w:vAlign w:val="bottom"/>
            <w:gridSpan w:val="16"/>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00" w:type="dxa"/>
            <w:vAlign w:val="bottom"/>
          </w:tcPr>
          <w:p>
            <w:pPr>
              <w:spacing w:after="0"/>
              <w:rPr>
                <w:sz w:val="24"/>
                <w:szCs w:val="24"/>
                <w:color w:val="auto"/>
              </w:rPr>
            </w:pPr>
          </w:p>
        </w:tc>
        <w:tc>
          <w:tcPr>
            <w:tcW w:w="3680" w:type="dxa"/>
            <w:vAlign w:val="bottom"/>
            <w:gridSpan w:val="27"/>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Amended Series E Warrant</w:t>
              </w:r>
            </w:hyperlink>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24"/>
                <w:szCs w:val="24"/>
                <w:color w:val="auto"/>
              </w:rPr>
            </w:pPr>
          </w:p>
        </w:tc>
        <w:tc>
          <w:tcPr>
            <w:tcW w:w="2760" w:type="dxa"/>
            <w:vAlign w:val="bottom"/>
            <w:tcBorders>
              <w:bottom w:val="single" w:sz="8" w:color="0000EE"/>
            </w:tcBorders>
            <w:gridSpan w:val="14"/>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Form of Amended Series A-1 Warrant</w:t>
              </w:r>
            </w:hyperlink>
          </w:p>
        </w:tc>
        <w:tc>
          <w:tcPr>
            <w:tcW w:w="920" w:type="dxa"/>
            <w:vAlign w:val="bottom"/>
            <w:gridSpan w:val="13"/>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448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780" w:type="dxa"/>
            <w:vAlign w:val="bottom"/>
            <w:tcBorders>
              <w:top w:val="single" w:sz="8" w:color="0000EE"/>
              <w:bottom w:val="single" w:sz="8" w:color="0000EE"/>
            </w:tcBorders>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number</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0"/>
          </w:tcPr>
          <w:p>
            <w:pPr>
              <w:ind w:left="56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File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601"/>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00" w:type="dxa"/>
            <w:vAlign w:val="bottom"/>
          </w:tcPr>
          <w:p>
            <w:pPr>
              <w:spacing w:after="0"/>
              <w:rPr>
                <w:sz w:val="24"/>
                <w:szCs w:val="24"/>
                <w:color w:val="auto"/>
              </w:rPr>
            </w:pPr>
          </w:p>
        </w:tc>
        <w:tc>
          <w:tcPr>
            <w:tcW w:w="2760" w:type="dxa"/>
            <w:vAlign w:val="bottom"/>
            <w:tcBorders>
              <w:bottom w:val="single" w:sz="8" w:color="0000EE"/>
            </w:tcBorders>
            <w:gridSpan w:val="12"/>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Form of Amended Series D-1 Warrant</w:t>
              </w:r>
            </w:hyperlink>
          </w:p>
        </w:tc>
        <w:tc>
          <w:tcPr>
            <w:tcW w:w="940" w:type="dxa"/>
            <w:vAlign w:val="bottom"/>
            <w:gridSpan w:val="11"/>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0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Form of Series F Warrant</w:t>
              </w:r>
            </w:hyperlink>
          </w:p>
        </w:tc>
        <w:tc>
          <w:tcPr>
            <w:tcW w:w="1860" w:type="dxa"/>
            <w:vAlign w:val="bottom"/>
            <w:gridSpan w:val="16"/>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Series F-1 Warrant</w:t>
              </w:r>
            </w:hyperlink>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Form of August 2016 Private Placement Warrant</w:t>
              </w:r>
            </w:hyperlink>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00" w:type="dxa"/>
            <w:vAlign w:val="bottom"/>
          </w:tcPr>
          <w:p>
            <w:pPr>
              <w:spacing w:after="0"/>
              <w:rPr>
                <w:sz w:val="24"/>
                <w:szCs w:val="24"/>
                <w:color w:val="auto"/>
              </w:rPr>
            </w:pPr>
          </w:p>
        </w:tc>
        <w:tc>
          <w:tcPr>
            <w:tcW w:w="3520" w:type="dxa"/>
            <w:vAlign w:val="bottom"/>
            <w:tcBorders>
              <w:top w:val="single" w:sz="8" w:color="0000EE"/>
            </w:tcBorders>
            <w:gridSpan w:val="19"/>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Form of 2016 Private Placement Agent Warrant</w:t>
              </w:r>
            </w:hyperlink>
          </w:p>
        </w:tc>
        <w:tc>
          <w:tcPr>
            <w:tcW w:w="180" w:type="dxa"/>
            <w:vAlign w:val="bottom"/>
            <w:gridSpan w:val="4"/>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0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Form of June 2017 Private Placement Warrant</w:t>
              </w:r>
            </w:hyperlink>
          </w:p>
        </w:tc>
        <w:tc>
          <w:tcPr>
            <w:tcW w:w="100" w:type="dxa"/>
            <w:vAlign w:val="bottom"/>
            <w:tcBorders>
              <w:top w:val="single" w:sz="8" w:color="0000EE"/>
            </w:tcBorders>
          </w:tcPr>
          <w:p>
            <w:pPr>
              <w:spacing w:after="0"/>
              <w:rPr>
                <w:sz w:val="24"/>
                <w:szCs w:val="24"/>
                <w:color w:val="auto"/>
              </w:rPr>
            </w:pPr>
          </w:p>
        </w:tc>
        <w:tc>
          <w:tcPr>
            <w:tcW w:w="260" w:type="dxa"/>
            <w:vAlign w:val="bottom"/>
            <w:gridSpan w:val="7"/>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6/22/17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7"/>
              </w:rPr>
            </w:pPr>
            <w:hyperlink r:id="rId175">
              <w:r>
                <w:rPr>
                  <w:rFonts w:ascii="Arial" w:cs="Arial" w:eastAsia="Arial" w:hAnsi="Arial"/>
                  <w:sz w:val="18"/>
                  <w:szCs w:val="18"/>
                  <w:color w:val="0000EE"/>
                  <w:w w:val="97"/>
                </w:rPr>
                <w:t>Form of 2017 Private Placement Agent Warrant</w:t>
              </w:r>
            </w:hyperlink>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6/22/17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00" w:type="dxa"/>
            <w:vAlign w:val="bottom"/>
          </w:tcPr>
          <w:p>
            <w:pPr>
              <w:spacing w:after="0"/>
              <w:rPr>
                <w:sz w:val="24"/>
                <w:szCs w:val="24"/>
                <w:color w:val="auto"/>
              </w:rPr>
            </w:pPr>
          </w:p>
        </w:tc>
        <w:tc>
          <w:tcPr>
            <w:tcW w:w="3560" w:type="dxa"/>
            <w:vAlign w:val="bottom"/>
            <w:tcBorders>
              <w:bottom w:val="single" w:sz="8" w:color="0000EE"/>
            </w:tcBorders>
            <w:gridSpan w:val="21"/>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Form of Warrant Amendment Agreement August</w:t>
              </w:r>
            </w:hyperlink>
          </w:p>
        </w:tc>
        <w:tc>
          <w:tcPr>
            <w:tcW w:w="140" w:type="dxa"/>
            <w:vAlign w:val="bottom"/>
            <w:gridSpan w:val="2"/>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2016 Private Placement</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00" w:type="dxa"/>
            <w:vAlign w:val="bottom"/>
          </w:tcPr>
          <w:p>
            <w:pPr>
              <w:spacing w:after="0"/>
              <w:rPr>
                <w:sz w:val="24"/>
                <w:szCs w:val="24"/>
                <w:color w:val="auto"/>
              </w:rPr>
            </w:pPr>
          </w:p>
        </w:tc>
        <w:tc>
          <w:tcPr>
            <w:tcW w:w="2720" w:type="dxa"/>
            <w:vAlign w:val="bottom"/>
            <w:tcBorders>
              <w:bottom w:val="single" w:sz="8" w:color="0000EE"/>
            </w:tcBorders>
            <w:gridSpan w:val="11"/>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Form of Warrant Exercise Agreement</w:t>
              </w:r>
            </w:hyperlink>
          </w:p>
        </w:tc>
        <w:tc>
          <w:tcPr>
            <w:tcW w:w="980" w:type="dxa"/>
            <w:vAlign w:val="bottom"/>
            <w:gridSpan w:val="12"/>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6/22/17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00" w:type="dxa"/>
            <w:vAlign w:val="bottom"/>
          </w:tcPr>
          <w:p>
            <w:pPr>
              <w:spacing w:after="0"/>
              <w:rPr>
                <w:sz w:val="24"/>
                <w:szCs w:val="24"/>
                <w:color w:val="auto"/>
              </w:rPr>
            </w:pPr>
          </w:p>
        </w:tc>
        <w:tc>
          <w:tcPr>
            <w:tcW w:w="2580" w:type="dxa"/>
            <w:vAlign w:val="bottom"/>
            <w:tcBorders>
              <w:bottom w:val="single" w:sz="8" w:color="0000EE"/>
            </w:tcBorders>
            <w:gridSpan w:val="10"/>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Form of Private Placement Warrant</w:t>
              </w:r>
            </w:hyperlink>
          </w:p>
        </w:tc>
        <w:tc>
          <w:tcPr>
            <w:tcW w:w="1120" w:type="dxa"/>
            <w:vAlign w:val="bottom"/>
            <w:gridSpan w:val="13"/>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6/8/18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00" w:type="dxa"/>
            <w:vAlign w:val="bottom"/>
          </w:tcPr>
          <w:p>
            <w:pPr>
              <w:spacing w:after="0"/>
              <w:rPr>
                <w:sz w:val="24"/>
                <w:szCs w:val="24"/>
                <w:color w:val="auto"/>
              </w:rPr>
            </w:pPr>
          </w:p>
        </w:tc>
        <w:tc>
          <w:tcPr>
            <w:tcW w:w="2560" w:type="dxa"/>
            <w:vAlign w:val="bottom"/>
            <w:tcBorders>
              <w:bottom w:val="single" w:sz="8" w:color="0000EE"/>
            </w:tcBorders>
            <w:gridSpan w:val="9"/>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Form of Private Placement Warrant</w:t>
              </w:r>
            </w:hyperlink>
          </w:p>
        </w:tc>
        <w:tc>
          <w:tcPr>
            <w:tcW w:w="1140" w:type="dxa"/>
            <w:vAlign w:val="bottom"/>
            <w:gridSpan w:val="14"/>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001-37393</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6/8/18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14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List of Subsidiaries</w:t>
              </w:r>
            </w:hyperlink>
          </w:p>
        </w:tc>
        <w:tc>
          <w:tcPr>
            <w:tcW w:w="2300" w:type="dxa"/>
            <w:vAlign w:val="bottom"/>
            <w:gridSpan w:val="18"/>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Consent of Marcum LLP, an independent public</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accounting firm.</w:t>
              </w:r>
            </w:hyperlink>
          </w:p>
        </w:tc>
        <w:tc>
          <w:tcPr>
            <w:tcW w:w="2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5"/>
              </w:rPr>
            </w:pPr>
            <w:hyperlink w:anchor="page103">
              <w:r>
                <w:rPr>
                  <w:rFonts w:ascii="Arial" w:cs="Arial" w:eastAsia="Arial" w:hAnsi="Arial"/>
                  <w:sz w:val="18"/>
                  <w:szCs w:val="18"/>
                  <w:color w:val="0000EE"/>
                  <w:w w:val="95"/>
                </w:rPr>
                <w:t>Powers of Attorney (included on signature page)</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35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Certification of Chief Executive Officer pursuant</w:t>
              </w:r>
            </w:hyperlink>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to Securities Exchange Act of 1934 Rule 13a-</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14(a) or 15d-14a</w:t>
              </w:r>
            </w:hyperlink>
          </w:p>
        </w:tc>
        <w:tc>
          <w:tcPr>
            <w:tcW w:w="4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8"/>
              </w:rPr>
            </w:pPr>
            <w:hyperlink w:anchor="page130">
              <w:r>
                <w:rPr>
                  <w:rFonts w:ascii="Arial" w:cs="Arial" w:eastAsia="Arial" w:hAnsi="Arial"/>
                  <w:sz w:val="18"/>
                  <w:szCs w:val="18"/>
                  <w:color w:val="0000EE"/>
                  <w:w w:val="98"/>
                </w:rPr>
                <w:t>Certification of Chief Financial Officer pursuant</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tcBorders>
            <w:gridSpan w:val="18"/>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to Securities Exchange Act of 1934 Rule 13a-</w:t>
              </w:r>
            </w:hyperlink>
          </w:p>
        </w:tc>
        <w:tc>
          <w:tcPr>
            <w:tcW w:w="2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14(a) or 15d-14a</w:t>
              </w:r>
            </w:hyperlink>
          </w:p>
        </w:tc>
        <w:tc>
          <w:tcPr>
            <w:tcW w:w="4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4"/>
                <w:szCs w:val="24"/>
                <w:color w:val="auto"/>
              </w:rPr>
            </w:pPr>
          </w:p>
        </w:tc>
        <w:tc>
          <w:tcPr>
            <w:tcW w:w="35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Certification of Chief Executive Officer pursuant</w:t>
              </w:r>
            </w:hyperlink>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to 18 U. S. C. Section 1350 as adopted pursuant</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to Section 906 of the Sarbanes-Oxley Act of</w:t>
              </w:r>
            </w:hyperlink>
          </w:p>
        </w:tc>
        <w:tc>
          <w:tcPr>
            <w:tcW w:w="2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131">
              <w:r>
                <w:rPr>
                  <w:rFonts w:ascii="Arial" w:cs="Arial" w:eastAsia="Arial" w:hAnsi="Arial"/>
                  <w:sz w:val="18"/>
                  <w:szCs w:val="18"/>
                  <w:color w:val="0000EE"/>
                  <w:w w:val="83"/>
                </w:rPr>
                <w:t>2002#</w:t>
              </w:r>
            </w:hyperlink>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24"/>
                <w:szCs w:val="24"/>
                <w:color w:val="auto"/>
              </w:rPr>
            </w:pPr>
          </w:p>
        </w:tc>
        <w:tc>
          <w:tcPr>
            <w:tcW w:w="3700" w:type="dxa"/>
            <w:vAlign w:val="bottom"/>
            <w:gridSpan w:val="23"/>
          </w:tcPr>
          <w:p>
            <w:pPr>
              <w:spacing w:after="0"/>
              <w:rPr>
                <w:rFonts w:ascii="Arial" w:cs="Arial" w:eastAsia="Arial" w:hAnsi="Arial"/>
                <w:sz w:val="18"/>
                <w:szCs w:val="18"/>
                <w:color w:val="0000EE"/>
                <w:w w:val="98"/>
              </w:rPr>
            </w:pPr>
            <w:hyperlink w:anchor="page132">
              <w:r>
                <w:rPr>
                  <w:rFonts w:ascii="Arial" w:cs="Arial" w:eastAsia="Arial" w:hAnsi="Arial"/>
                  <w:sz w:val="18"/>
                  <w:szCs w:val="18"/>
                  <w:color w:val="0000EE"/>
                  <w:w w:val="98"/>
                </w:rPr>
                <w:t>Certification of Chief Financial Officer pursuant</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tcBorders>
            <w:gridSpan w:val="18"/>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to 18 U. S. C. Section 1350 as adopted pursuant</w:t>
              </w:r>
            </w:hyperlink>
          </w:p>
        </w:tc>
        <w:tc>
          <w:tcPr>
            <w:tcW w:w="2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to Section 906 of the Sarbanes-Oxley Act of</w:t>
              </w:r>
            </w:hyperlink>
          </w:p>
        </w:tc>
        <w:tc>
          <w:tcPr>
            <w:tcW w:w="2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132">
              <w:r>
                <w:rPr>
                  <w:rFonts w:ascii="Arial" w:cs="Arial" w:eastAsia="Arial" w:hAnsi="Arial"/>
                  <w:sz w:val="18"/>
                  <w:szCs w:val="18"/>
                  <w:color w:val="0000EE"/>
                  <w:w w:val="83"/>
                </w:rPr>
                <w:t>2002#</w:t>
              </w:r>
            </w:hyperlink>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68"/>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780" w:type="dxa"/>
            <w:vAlign w:val="bottom"/>
            <w:tcBorders>
              <w:top w:val="single" w:sz="8" w:color="0000EE"/>
              <w:bottom w:val="single" w:sz="8" w:color="0000EE"/>
            </w:tcBorders>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50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642"/>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37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3700" w:type="dxa"/>
            <w:vAlign w:val="bottom"/>
            <w:gridSpan w:val="3"/>
          </w:tcPr>
          <w:p>
            <w:pPr>
              <w:spacing w:after="0"/>
              <w:rPr>
                <w:sz w:val="20"/>
                <w:szCs w:val="20"/>
                <w:color w:val="auto"/>
              </w:rPr>
            </w:pPr>
            <w:r>
              <w:rPr>
                <w:rFonts w:ascii="Arial" w:cs="Arial" w:eastAsia="Arial" w:hAnsi="Arial"/>
                <w:sz w:val="18"/>
                <w:szCs w:val="18"/>
                <w:color w:val="auto"/>
                <w:w w:val="97"/>
              </w:rPr>
              <w:t>XBRL Taxonomy Extension Schema Document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3700" w:type="dxa"/>
            <w:vAlign w:val="bottom"/>
            <w:gridSpan w:val="3"/>
          </w:tcPr>
          <w:p>
            <w:pPr>
              <w:spacing w:after="0"/>
              <w:rPr>
                <w:sz w:val="20"/>
                <w:szCs w:val="20"/>
                <w:color w:val="auto"/>
              </w:rPr>
            </w:pPr>
            <w:r>
              <w:rPr>
                <w:rFonts w:ascii="Arial" w:cs="Arial" w:eastAsia="Arial" w:hAnsi="Arial"/>
                <w:sz w:val="18"/>
                <w:szCs w:val="18"/>
                <w:color w:val="auto"/>
              </w:rPr>
              <w:t>XBRL Taxonomy Extension Calculation</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101.DEF</w:t>
            </w:r>
          </w:p>
        </w:tc>
        <w:tc>
          <w:tcPr>
            <w:tcW w:w="3700" w:type="dxa"/>
            <w:vAlign w:val="bottom"/>
            <w:gridSpan w:val="3"/>
          </w:tcPr>
          <w:p>
            <w:pPr>
              <w:spacing w:after="0"/>
              <w:rPr>
                <w:sz w:val="20"/>
                <w:szCs w:val="20"/>
                <w:color w:val="auto"/>
              </w:rPr>
            </w:pPr>
            <w:r>
              <w:rPr>
                <w:rFonts w:ascii="Arial" w:cs="Arial" w:eastAsia="Arial" w:hAnsi="Arial"/>
                <w:sz w:val="18"/>
                <w:szCs w:val="18"/>
                <w:color w:val="auto"/>
                <w:w w:val="97"/>
              </w:rPr>
              <w:t>XBRL Taxonomy Extension Definition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37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37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right="5700" w:hanging="568"/>
        <w:spacing w:after="0" w:line="263" w:lineRule="auto"/>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filed herewith)</w:t>
      </w:r>
    </w:p>
    <w:p>
      <w:pPr>
        <w:spacing w:after="0" w:line="3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Executive management contract or compensatory plan or arrangement.</w:t>
      </w:r>
    </w:p>
    <w:p>
      <w:pPr>
        <w:spacing w:after="0" w:line="225" w:lineRule="exact"/>
        <w:rPr>
          <w:rFonts w:ascii="Arial" w:cs="Arial" w:eastAsia="Arial" w:hAnsi="Arial"/>
          <w:sz w:val="18"/>
          <w:szCs w:val="18"/>
          <w:color w:val="auto"/>
        </w:rPr>
      </w:pPr>
    </w:p>
    <w:p>
      <w:pPr>
        <w:ind w:left="340" w:hanging="332"/>
        <w:spacing w:after="0" w:line="277" w:lineRule="auto"/>
        <w:tabs>
          <w:tab w:leader="none" w:pos="3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170" w:lineRule="exact"/>
        <w:rPr>
          <w:rFonts w:ascii="Arial" w:cs="Arial" w:eastAsia="Arial" w:hAnsi="Arial"/>
          <w:sz w:val="18"/>
          <w:szCs w:val="18"/>
          <w:color w:val="auto"/>
        </w:rPr>
      </w:pPr>
    </w:p>
    <w:p>
      <w:pPr>
        <w:ind w:left="340" w:hanging="332"/>
        <w:spacing w:after="0" w:line="277" w:lineRule="auto"/>
        <w:tabs>
          <w:tab w:leader="none" w:pos="3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conditional treatment and this exhibit has been submitted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-1047750</wp:posOffset>
            </wp:positionV>
            <wp:extent cx="1568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59" w:lineRule="auto"/>
        <w:tabs>
          <w:tab w:leader="none" w:pos="3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2022</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Marker Therapeutics, Inc.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Anthony Kim</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of the undersigned officers and directors of Marker Therapeutics, Inc., hereby constitutes and appoints Peter Hoang and Anthony Kim,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17, 2022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940" w:type="dxa"/>
            <w:vAlign w:val="bottom"/>
            <w:gridSpan w:val="3"/>
          </w:tcPr>
          <w:p>
            <w:pPr>
              <w:ind w:left="360"/>
              <w:spacing w:after="0"/>
              <w:rPr>
                <w:sz w:val="20"/>
                <w:szCs w:val="20"/>
                <w:color w:val="auto"/>
              </w:rPr>
            </w:pPr>
            <w:r>
              <w:rPr>
                <w:rFonts w:ascii="Arial" w:cs="Arial" w:eastAsia="Arial" w:hAnsi="Arial"/>
                <w:sz w:val="18"/>
                <w:szCs w:val="18"/>
                <w:b w:val="1"/>
                <w:bCs w:val="1"/>
                <w:color w:val="auto"/>
              </w:rPr>
              <w:t>Title</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195"/>
        </w:trPr>
        <w:tc>
          <w:tcPr>
            <w:tcW w:w="27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w:t>
            </w:r>
          </w:p>
        </w:tc>
        <w:tc>
          <w:tcPr>
            <w:tcW w:w="280" w:type="dxa"/>
            <w:vAlign w:val="bottom"/>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 (Principal Executive Officer)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Peter Hoang</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Frederick Wasserman</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David Laskow-Pooley</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Wilson</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John Wilson</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Vera</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Juan Vera</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 David Eansor</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N. David Eansor</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Elms</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Steve Elms</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Katharine Knobil</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Katharine Knobil</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3"/>
        </w:trPr>
        <w:tc>
          <w:tcPr>
            <w:tcW w:w="2780" w:type="dxa"/>
            <w:vAlign w:val="bottom"/>
          </w:tcPr>
          <w:p>
            <w:pPr>
              <w:spacing w:after="0"/>
              <w:rPr>
                <w:sz w:val="24"/>
                <w:szCs w:val="24"/>
                <w:color w:val="auto"/>
              </w:rPr>
            </w:pP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(Principal Financial</w:t>
            </w: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and Accounting Officer)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17, 2022</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Anthony Kim</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863"/>
        </w:trPr>
        <w:tc>
          <w:tcPr>
            <w:tcW w:w="2780" w:type="dxa"/>
            <w:vAlign w:val="bottom"/>
          </w:tcPr>
          <w:p>
            <w:pPr>
              <w:spacing w:after="0"/>
              <w:rPr>
                <w:sz w:val="24"/>
                <w:szCs w:val="24"/>
                <w:color w:val="auto"/>
              </w:rPr>
            </w:pPr>
          </w:p>
        </w:tc>
        <w:tc>
          <w:tcPr>
            <w:tcW w:w="3660" w:type="dxa"/>
            <w:vAlign w:val="bottom"/>
            <w:gridSpan w:val="2"/>
          </w:tcPr>
          <w:p>
            <w:pPr>
              <w:jc w:val="right"/>
              <w:ind w:right="125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2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60" w:type="dxa"/>
            <w:vAlign w:val="bottom"/>
          </w:tcPr>
          <w:p>
            <w:pPr>
              <w:spacing w:after="0"/>
              <w:rPr>
                <w:sz w:val="17"/>
                <w:szCs w:val="17"/>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MARKER THERAPEUTICS, INC.</w:t>
            </w:r>
          </w:p>
        </w:tc>
        <w:tc>
          <w:tcPr>
            <w:tcW w:w="14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CONSOLIDATED FINANCIAL STATEMENTS</w:t>
            </w:r>
          </w:p>
        </w:tc>
        <w:tc>
          <w:tcPr>
            <w:tcW w:w="14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6"/>
              </w:rPr>
              <w:t>DECEMBER 31, 2021 AND DECEMBER 31, 2020</w:t>
            </w:r>
          </w:p>
        </w:tc>
        <w:tc>
          <w:tcPr>
            <w:tcW w:w="1460" w:type="dxa"/>
            <w:vAlign w:val="bottom"/>
          </w:tcPr>
          <w:p>
            <w:pPr>
              <w:spacing w:after="0"/>
              <w:rPr>
                <w:sz w:val="24"/>
                <w:szCs w:val="24"/>
                <w:color w:val="auto"/>
              </w:rPr>
            </w:pPr>
          </w:p>
        </w:tc>
      </w:tr>
      <w:tr>
        <w:trPr>
          <w:trHeight w:val="405"/>
        </w:trPr>
        <w:tc>
          <w:tcPr>
            <w:tcW w:w="8120" w:type="dxa"/>
            <w:vAlign w:val="bottom"/>
            <w:gridSpan w:val="8"/>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 xml:space="preserve">Report of Independent Registered Public Accounting Firm </w:t>
              </w:r>
            </w:hyperlink>
            <w:r>
              <w:rPr>
                <w:rFonts w:ascii="Arial" w:cs="Arial" w:eastAsia="Arial" w:hAnsi="Arial"/>
                <w:sz w:val="18"/>
                <w:szCs w:val="18"/>
                <w:b w:val="1"/>
                <w:bCs w:val="1"/>
                <w:color w:val="000000"/>
              </w:rPr>
              <w:t>(PCAOB</w:t>
            </w:r>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ID Number 688)</w:t>
            </w: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F-2</w:t>
            </w:r>
          </w:p>
        </w:tc>
      </w:tr>
      <w:tr>
        <w:trPr>
          <w:trHeight w:val="237"/>
        </w:trPr>
        <w:tc>
          <w:tcPr>
            <w:tcW w:w="45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Consolidated Balance Sheets</w:t>
              </w:r>
            </w:hyperlink>
          </w:p>
        </w:tc>
        <w:tc>
          <w:tcPr>
            <w:tcW w:w="3600" w:type="dxa"/>
            <w:vAlign w:val="bottom"/>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F-3</w:t>
            </w: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6"/>
        </w:trPr>
        <w:tc>
          <w:tcPr>
            <w:tcW w:w="302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08">
              <w:r>
                <w:rPr>
                  <w:rFonts w:ascii="Arial" w:cs="Arial" w:eastAsia="Arial" w:hAnsi="Arial"/>
                  <w:sz w:val="18"/>
                  <w:szCs w:val="18"/>
                  <w:b w:val="1"/>
                  <w:bCs w:val="1"/>
                  <w:color w:val="0000EE"/>
                  <w:w w:val="88"/>
                </w:rPr>
                <w:t>Consolidated Statements of Operations</w:t>
              </w:r>
            </w:hyperlink>
          </w:p>
        </w:tc>
        <w:tc>
          <w:tcPr>
            <w:tcW w:w="5100" w:type="dxa"/>
            <w:vAlign w:val="bottom"/>
            <w:gridSpan w:val="5"/>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F-4</w:t>
            </w:r>
          </w:p>
        </w:tc>
      </w:tr>
      <w:tr>
        <w:trPr>
          <w:trHeight w:val="237"/>
        </w:trPr>
        <w:tc>
          <w:tcPr>
            <w:tcW w:w="37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109">
              <w:r>
                <w:rPr>
                  <w:rFonts w:ascii="Arial" w:cs="Arial" w:eastAsia="Arial" w:hAnsi="Arial"/>
                  <w:sz w:val="18"/>
                  <w:szCs w:val="18"/>
                  <w:b w:val="1"/>
                  <w:bCs w:val="1"/>
                  <w:color w:val="0000EE"/>
                  <w:w w:val="89"/>
                </w:rPr>
                <w:t>Consolidated Statements of Stockholders’ Equity</w:t>
              </w:r>
            </w:hyperlink>
          </w:p>
        </w:tc>
        <w:tc>
          <w:tcPr>
            <w:tcW w:w="4340" w:type="dxa"/>
            <w:vAlign w:val="bottom"/>
            <w:gridSpan w:val="2"/>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F-5</w:t>
            </w:r>
          </w:p>
        </w:tc>
      </w:tr>
      <w:tr>
        <w:trPr>
          <w:trHeight w:val="237"/>
        </w:trPr>
        <w:tc>
          <w:tcPr>
            <w:tcW w:w="304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10">
              <w:r>
                <w:rPr>
                  <w:rFonts w:ascii="Arial" w:cs="Arial" w:eastAsia="Arial" w:hAnsi="Arial"/>
                  <w:sz w:val="18"/>
                  <w:szCs w:val="18"/>
                  <w:b w:val="1"/>
                  <w:bCs w:val="1"/>
                  <w:color w:val="0000EE"/>
                  <w:w w:val="88"/>
                </w:rPr>
                <w:t>Consolidated Statements of Cash Flows</w:t>
              </w:r>
            </w:hyperlink>
          </w:p>
        </w:tc>
        <w:tc>
          <w:tcPr>
            <w:tcW w:w="5080" w:type="dxa"/>
            <w:vAlign w:val="bottom"/>
            <w:gridSpan w:val="4"/>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F-6</w:t>
            </w:r>
          </w:p>
        </w:tc>
      </w:tr>
      <w:tr>
        <w:trPr>
          <w:trHeight w:val="237"/>
        </w:trPr>
        <w:tc>
          <w:tcPr>
            <w:tcW w:w="364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111">
              <w:r>
                <w:rPr>
                  <w:rFonts w:ascii="Arial" w:cs="Arial" w:eastAsia="Arial" w:hAnsi="Arial"/>
                  <w:sz w:val="18"/>
                  <w:szCs w:val="18"/>
                  <w:b w:val="1"/>
                  <w:bCs w:val="1"/>
                  <w:color w:val="0000EE"/>
                  <w:w w:val="88"/>
                </w:rPr>
                <w:t>Notes to the Consolidated Financial Statements</w:t>
              </w:r>
            </w:hyperlink>
          </w:p>
        </w:tc>
        <w:tc>
          <w:tcPr>
            <w:tcW w:w="4480" w:type="dxa"/>
            <w:vAlign w:val="bottom"/>
            <w:gridSpan w:val="3"/>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980" w:top="500" w:right="1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Marker Therapeutics, Inc. (the “Company”) as of December 31, 2021 and 2020, the related consolidated statements of operations,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more fully described in Note 2, the Company has incurred significant losses and needs to raise additional funds to sustain its operating expenses and capital expenditure requirements.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r>
        <w:rPr>
          <w:rFonts w:ascii="Arial" w:cs="Arial" w:eastAsia="Arial" w:hAnsi="Arial"/>
          <w:sz w:val="18"/>
          <w:szCs w:val="18"/>
          <w:b w:val="1"/>
          <w:bCs w:val="1"/>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42,351,145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deposits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45,982,202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24,410,865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22,152,932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21,203,950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68,135,134</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45,614,815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11,134,913</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1,146,186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12,901,589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11,247,950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24,149,539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December 31, 2021 and 2020, respectively</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ind w:left="100"/>
              <w:spacing w:after="0" w:line="201" w:lineRule="exact"/>
              <w:rPr>
                <w:sz w:val="20"/>
                <w:szCs w:val="20"/>
                <w:color w:val="auto"/>
              </w:rPr>
            </w:pPr>
            <w:r>
              <w:rPr>
                <w:rFonts w:ascii="Arial" w:cs="Arial" w:eastAsia="Arial" w:hAnsi="Arial"/>
                <w:sz w:val="18"/>
                <w:szCs w:val="18"/>
                <w:color w:val="auto"/>
                <w:w w:val="94"/>
              </w:rPr>
              <w:t>Common stock, $0.001 par value, 150 million shares authorized, 83.1 million and 50.7 million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220"/>
              <w:spacing w:after="0"/>
              <w:rPr>
                <w:sz w:val="20"/>
                <w:szCs w:val="20"/>
                <w:color w:val="auto"/>
              </w:rPr>
            </w:pPr>
            <w:r>
              <w:rPr>
                <w:rFonts w:ascii="Arial" w:cs="Arial" w:eastAsia="Arial" w:hAnsi="Arial"/>
                <w:sz w:val="18"/>
                <w:szCs w:val="18"/>
                <w:color w:val="auto"/>
              </w:rPr>
              <w:t>shares issued and outstanding as of December 31, 2021 and 2020, respectively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442,020,871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383,533,326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(398,118,355)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(356,239,484)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43,985,595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68,135,134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1,241,710</w:t>
            </w:r>
          </w:p>
        </w:tc>
        <w:tc>
          <w:tcPr>
            <w:tcW w:w="10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27,794,879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12,924,826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40,719,705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(39,477,995)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(28,885,812)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Arbitration settlement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(2,406,576)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(41,878,871)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(28,706,070)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76,505,675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47,039,862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60" w:type="dxa"/>
            <w:vAlign w:val="bottom"/>
            <w:gridSpan w:val="3"/>
            <w:vMerge w:val="restart"/>
          </w:tcPr>
          <w:p>
            <w:pPr>
              <w:jc w:val="right"/>
              <w:ind w:right="313"/>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 Paid-</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9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Par value</w:t>
            </w:r>
          </w:p>
        </w:tc>
        <w:tc>
          <w:tcPr>
            <w:tcW w:w="140" w:type="dxa"/>
            <w:vAlign w:val="bottom"/>
          </w:tcPr>
          <w:p>
            <w:pPr>
              <w:spacing w:after="0"/>
              <w:rPr>
                <w:sz w:val="12"/>
                <w:szCs w:val="12"/>
                <w:color w:val="auto"/>
              </w:rPr>
            </w:pPr>
          </w:p>
        </w:tc>
        <w:tc>
          <w:tcPr>
            <w:tcW w:w="12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3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2"/>
                <w:szCs w:val="12"/>
                <w:color w:val="auto"/>
              </w:rPr>
            </w:pPr>
          </w:p>
        </w:tc>
        <w:tc>
          <w:tcPr>
            <w:tcW w:w="9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45,728,831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$ 45,728</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$ 371,573,909</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(327,533,414)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44,086,223</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4,113,440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6,181,897</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6,186,011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549,541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2"/>
        </w:trPr>
        <w:tc>
          <w:tcPr>
            <w:tcW w:w="4340" w:type="dxa"/>
            <w:vAlign w:val="bottom"/>
          </w:tcPr>
          <w:p>
            <w:pPr>
              <w:ind w:left="120"/>
              <w:spacing w:after="0" w:line="201" w:lineRule="exact"/>
              <w:rPr>
                <w:sz w:val="20"/>
                <w:szCs w:val="20"/>
                <w:color w:val="auto"/>
              </w:rPr>
            </w:pPr>
            <w:r>
              <w:rPr>
                <w:rFonts w:ascii="Arial" w:cs="Arial" w:eastAsia="Arial" w:hAnsi="Arial"/>
                <w:sz w:val="18"/>
                <w:szCs w:val="18"/>
                <w:color w:val="auto"/>
                <w:w w:val="93"/>
              </w:rPr>
              <w:t>Issuance of common stock as commitment fee for future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345,357</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345</w:t>
            </w:r>
          </w:p>
        </w:tc>
        <w:tc>
          <w:tcPr>
            <w:tcW w:w="14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(345)</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5,228,324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5,228,409</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(28,706,070)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(28,706,070)</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50,731</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383,533,326</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(356,239,484)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27,344,573</w:t>
            </w:r>
          </w:p>
        </w:tc>
        <w:tc>
          <w:tcPr>
            <w:tcW w:w="0" w:type="dxa"/>
            <w:vAlign w:val="bottom"/>
          </w:tcPr>
          <w:p>
            <w:pPr>
              <w:spacing w:after="0"/>
              <w:rPr>
                <w:sz w:val="1"/>
                <w:szCs w:val="1"/>
                <w:color w:val="auto"/>
              </w:rPr>
            </w:pPr>
          </w:p>
        </w:tc>
      </w:tr>
      <w:tr>
        <w:trPr>
          <w:trHeight w:val="202"/>
        </w:trPr>
        <w:tc>
          <w:tcPr>
            <w:tcW w:w="434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for cash (net of offering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costs of $3.9 million)</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32,283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52,520,475</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52,552,758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5,963,985</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5,964,048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(41,878,871)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(41,878,871)</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$ 83,079</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$ 442,020,871</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(398,118,355)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43,985,595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(41,878,871)</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(28,706,070)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2,148,983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5,964,048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(27,279,765)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(20,034,691)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construction in progress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(1,558,970)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(3,131,131)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(9,252,887)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52,552,758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52,555,845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increase (decrease) in cash, cash equivlants and restricted cash</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22,144,949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(22,551,567)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21,352,382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43,497,331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6,789,098</w:t>
            </w:r>
          </w:p>
        </w:tc>
        <w:tc>
          <w:tcPr>
            <w:tcW w:w="10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2,160,765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Recognition of right-of-use assets and lease liability from new operating lease agreement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11,114,300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DECEMBER 31, 2021 AND 2020</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FINANCIAL CONDITION, GOING CONCERN AND MANAGEMENT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the Company had cash, cash equivalents and restricted cash of approximately $43.5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On March 16, 2021, the Company issued an aggregate of 32,282,857 shares of its common stock, for net proceeds of $52.6 million.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August 2021, the Company entered into a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Sales Agents will be entitled to compensation under the Sales Agreement at a commission rate equal to 3.0% of the gross sales price per share sold under the ATM Agreement, and the Company has provided each of the Sales Agents with indemnification and contribution rights. To date, the Company has not sold any shares of its common stock under the ATM Agreement.</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the Company received notice of a Product Development Research award totaling approximately $13.1 million from the Cancer Prevention and Research Institute of Texas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$2.4 million of funds from the CPRIT grant. The Company recorded $1.2 million of grant income related to the CPRIT grant as revenue for the year ended December 31, 2021. At December 31, 2021, $1.1 million was recorded as Restricted Cash and Deferred Revenue on the Company’s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cash equivalents and restricted cash as of December 31, 2021 will enable the Company to fund its operating expenses and capital expenditure requirements into the first quarter of 2023, as such these factors raise substantial doubt regarding the Company's ability to continue as a going concern.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72" w:lineRule="exact"/>
        <w:rPr>
          <w:sz w:val="20"/>
          <w:szCs w:val="20"/>
          <w:color w:val="auto"/>
        </w:rPr>
      </w:pPr>
    </w:p>
    <w:p>
      <w:pPr>
        <w:ind w:left="680" w:hanging="321"/>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continues the research and development of its product candidates and seeks to discover additional product candidates;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the Company’s ability to continue as a going concern. The accompanying consolidated financial statements have been prepared on a going concern basis, which implies that the Company will continue to realize its assets and discharge its liabilities in the normal course of business. The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emergence of any new variant strains of COVID-19, the duration and effect of business disruptions and the short-term effects and ultimate effectiveness of the travel restrictions, quarantines, social distancing requirements, the timing, distribution, rate of public acceptance and efficacy of vaccines and other treatments, and business closures in the United States and other countries to contain and treat the disease. While the potential economic impact brought by, and the duration of the COVID-19 pandemic may be difficult to assess or predict it could result in significant disruption of global financial markets, reducing the Company’s ability to access capital, which could in the future negatively affect the Company’s liquidity. In addition, a recession or market correction resulting from the spread of COVID-19 and any variant strains thereof could materially affect the Company’s business and the value of its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reclassifications have been made to reclass certain non-cash capital expenditures on the consolidated statements of cash flows from a cash outflow from investing activity to a non-cash investing activity. The Company has evaluated the materiality of this adjustment and concluded it was not material to the previously issued consolidated financial statements and had no impact to the reported consolidated balance sheets, consolidated statements of operations or net loss per share.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2020, this immaterial adjustment had the effect of increasing net cash used in operating activities and decreasing net cash used in investing activities by $1.2 million from what was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Preparation of the Company’s consolidated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cash equivalents and restricted cash at December 31, 2021 consisted of cash and certificates of deposit in institutions in the United States. Balances at certain institutions have exceeded Federal Deposit Insurance Corporation insured limits and U.S. government agency securities.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maintains cash in accounts which are in excess of the Federal Deposit Insurance Corporation (“FDIC”) insured limits of $250,000. As of December 31, 2021, approximately $3.2 million in cash was uninsured based upon the FDIC insurance coverage limits.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21,352,382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9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1,146,186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cash, cash equivalents and restricted cash shown in statements of cash flows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43,497,331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21,352,382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4820"/>
              <w:spacing w:after="0"/>
              <w:rPr>
                <w:sz w:val="20"/>
                <w:szCs w:val="20"/>
                <w:color w:val="auto"/>
              </w:rPr>
            </w:pPr>
            <w:r>
              <w:rPr>
                <w:rFonts w:ascii="Arial" w:cs="Arial" w:eastAsia="Arial" w:hAnsi="Arial"/>
                <w:sz w:val="18"/>
                <w:szCs w:val="18"/>
                <w:color w:val="auto"/>
              </w:rPr>
              <w:t>F-9</w:t>
            </w: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received from grants in advance of incurring qualifying costs are recorded as restricted cash and deferred revenue until they are earned and recorded to grant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 Construction in Progress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will be recorded as either manufacturing equipment and/or leasehold improvements and amortized over the estimated useful life of the asset and/or leasehold lease.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Upon completion and installation of the modular cleanroom, all costs associated with the buildout will be recorded as manufacturing equipment and amortized over the estimated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7" w:lineRule="exact"/>
        <w:rPr>
          <w:sz w:val="20"/>
          <w:szCs w:val="20"/>
          <w:color w:val="auto"/>
        </w:rPr>
      </w:pPr>
    </w:p>
    <w:p>
      <w:pPr>
        <w:ind w:left="880" w:hanging="33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880" w:hanging="332"/>
        <w:spacing w:after="0" w:line="286"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65" w:lineRule="exact"/>
        <w:rPr>
          <w:rFonts w:ascii="Arial" w:cs="Arial" w:eastAsia="Arial" w:hAnsi="Arial"/>
          <w:sz w:val="17"/>
          <w:szCs w:val="17"/>
          <w:color w:val="auto"/>
        </w:rPr>
      </w:pPr>
    </w:p>
    <w:p>
      <w:pPr>
        <w:ind w:left="880" w:hanging="332"/>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life of stock options was estimated using the "simplified method," as the Company has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prices.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 equivalent remaining term.</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cash dividends in the foreseeable future, and, therefore, uses an expected dividend yield of zero in its valuation models. 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2021 and 2020,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2021 and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FASB.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CPRIT to support our Phase 2 clinical trial of MT-401.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730-20-25-8,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 The funds received from CPRIT will initially be recorded as a deferred credit in the Company’s balance sheet.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cash received from grants in advance of incurring qualifying costs is recorded as deferred revenue and recognized as revenue when qualifying costs are incurred. During the fourth quarter of 2021, the Company received $2.4 million advancement of funds in relation to the CPRIT grant. The Company recorded $1.2 million of grant income related to the CPRIT grant as revenue for the year ended December 31, 2021. At December 31, 2021, $1.1 million was recorded as restricted cash and deferred revenue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has adopted the new standard effective January 1, 2021 and has concluded that the adoption of this standard did not have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NET LOSS PER SHARE APPLICABLE TO COMMON SHAREHOLDERS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net loss per share for the years ended December 31, 2021 and 2020, respectively:</w:t>
      </w:r>
    </w:p>
    <w:p>
      <w:pPr>
        <w:spacing w:after="0" w:line="242"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For the Years Ended</w:t>
      </w:r>
    </w:p>
    <w:p>
      <w:pPr>
        <w:ind w:left="8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(41,878,871)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(28,706,070)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76,505,675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47,039,862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7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For the Years Ended</w:t>
      </w:r>
    </w:p>
    <w:p>
      <w:pPr>
        <w:ind w:left="8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6,002,000</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purchase warrants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19,830,000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20,830,000</w:t>
            </w: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27,516,000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26,832,000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5:</w:t>
        <w:tab/>
        <w:t>OTHER RECEIVABLE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Company’s lease agreement for its manufacturing facility, the Company incurred and paid for the construction invoices directly for both the structural improvements of the facility and the building of the manufacturing modular cleanroom (i.e. leasehold improvements and manufacturing equipment). In accordance with the agreement, upon completion of the facility’s construction, the Company was owed up to $1.0 million as reimbursement, and as such a landlord receivable was recorded, which provides for a legal right to receive construction reimbursements from the landlord for tenant improvement allowances. During the fiscal year ended 2020, the Company recorded a $1.0 million receivable in its consolidated financial statements. The Company received the $1.0 million reimbursement in April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December 31, 2021 and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0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rPr>
              <w:t>life</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3,173,000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12,837,000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(2,740,000)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6,789,000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12,323,000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10,360,000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years ended December 31, 2021 and 2020 was approximately $2.1 million and $0.5 million, respectively.</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2020, the Company entered into a lease for a manufacturing facility in Houston, Texas.The Company has incurred costs pursuant to an agreement with a vendor to design, engineer, build and eventually install modular cleanrooms in the manufacturing facility. $6.8 million is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all costs associated with the buildout will be recorded as either manufacturing equipment and/or leasehold improvements and amortized over the estimated useful life of the asset and/or leasehold lease.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2021, and in connection with the opening of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 The company did not consider that option in calculating Right-of-use assets and lease liability as the Company is not reasonably certain it will extend the contract beyond the current terms.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non-current assets on the Company’s consolidated balance sheets. Current and non-current lease liabilities are recorded within current liabilities and non-current liabilities, respectively, on its consolidated balance sheets. Costs associated with operating leases are recognized on a straight-line basis within operating expenses over the term of the lease.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total operating lease liabilities of approximately $11.9 million and right-of-use assets of approximately $9.8 million, which were included in the consolidated balance sheet.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generally represent the Company’s share of the landlord’s operating expenses. The Company does not act as a lessor or have any leases classified as financing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1,702,000</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606,000</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2,308,000</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1,149,000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For the Years Ended</w:t>
      </w:r>
    </w:p>
    <w:p>
      <w:pPr>
        <w:ind w:left="8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11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2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$ 1,077,000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   544,000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remaining lease term as of December 31, 2021 and December 31, 2020 was approximately 8.4 years and 9.3 years, respectively. The weighted-average discount rate used to determine the operating lease liability as of December 31, 2021 and December 31, 2020 was approximately 5.7%.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Maturities of the Company’s operating leases, excluding short-term leases, are as follows: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1,278,000</w:t>
            </w:r>
          </w:p>
        </w:tc>
        <w:tc>
          <w:tcPr>
            <w:tcW w:w="60" w:type="dxa"/>
            <w:vAlign w:val="bottom"/>
            <w:shd w:val="clear" w:color="auto" w:fill="CCEEFF"/>
          </w:tcPr>
          <w:p>
            <w:pPr>
              <w:spacing w:after="0"/>
              <w:rPr>
                <w:sz w:val="19"/>
                <w:szCs w:val="19"/>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1,542,000</w:t>
            </w:r>
          </w:p>
        </w:tc>
        <w:tc>
          <w:tcPr>
            <w:tcW w:w="6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1,826,000</w:t>
            </w:r>
          </w:p>
        </w:tc>
        <w:tc>
          <w:tcPr>
            <w:tcW w:w="6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1,874,000</w:t>
            </w:r>
          </w:p>
        </w:tc>
        <w:tc>
          <w:tcPr>
            <w:tcW w:w="6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60" w:type="dxa"/>
            <w:vAlign w:val="bottom"/>
            <w:shd w:val="clear" w:color="auto" w:fill="CCEEFF"/>
          </w:tcPr>
          <w:p>
            <w:pPr>
              <w:spacing w:after="0"/>
              <w:rPr>
                <w:sz w:val="18"/>
                <w:szCs w:val="18"/>
                <w:color w:val="auto"/>
              </w:rPr>
            </w:pPr>
          </w:p>
        </w:tc>
      </w:tr>
      <w:tr>
        <w:trPr>
          <w:trHeight w:val="216"/>
        </w:trPr>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6,997,000</w:t>
            </w:r>
          </w:p>
        </w:tc>
        <w:tc>
          <w:tcPr>
            <w:tcW w:w="60" w:type="dxa"/>
            <w:vAlign w:val="bottom"/>
            <w:tcBorders>
              <w:bottom w:val="single" w:sz="8" w:color="CCEEFF"/>
            </w:tcBorders>
          </w:tcPr>
          <w:p>
            <w:pPr>
              <w:spacing w:after="0"/>
              <w:rPr>
                <w:sz w:val="18"/>
                <w:szCs w:val="18"/>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15,292,000</w:t>
            </w:r>
          </w:p>
        </w:tc>
        <w:tc>
          <w:tcPr>
            <w:tcW w:w="60" w:type="dxa"/>
            <w:vAlign w:val="bottom"/>
            <w:shd w:val="clear" w:color="auto" w:fill="CCEEFF"/>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(3,424,000)</w:t>
            </w:r>
          </w:p>
        </w:tc>
        <w:tc>
          <w:tcPr>
            <w:tcW w:w="60" w:type="dxa"/>
            <w:vAlign w:val="bottom"/>
            <w:tcBorders>
              <w:bottom w:val="single" w:sz="8" w:color="CCEEFF"/>
            </w:tcBorders>
          </w:tcPr>
          <w:p>
            <w:pPr>
              <w:spacing w:after="0"/>
              <w:rPr>
                <w:sz w:val="18"/>
                <w:szCs w:val="18"/>
                <w:color w:val="auto"/>
              </w:rPr>
            </w:pPr>
          </w:p>
        </w:tc>
      </w:tr>
      <w:tr>
        <w:trPr>
          <w:trHeight w:val="209"/>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liabilities included in the Condensed Consolidated Balance Sheet at December 31, 2021</w:t>
            </w: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11,868,000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tab/>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December 31, 2021 and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4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1,694,000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Process development expenses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Professional fees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Arbitration settlement fees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11,135,000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6,013,000</w:t>
            </w:r>
          </w:p>
        </w:tc>
      </w:tr>
      <w:tr>
        <w:trPr>
          <w:trHeight w:val="20"/>
        </w:trPr>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8"/>
        </w:trPr>
        <w:tc>
          <w:tcPr>
            <w:tcW w:w="4040" w:type="dxa"/>
            <w:vAlign w:val="bottom"/>
          </w:tcPr>
          <w:p>
            <w:pPr>
              <w:spacing w:after="0"/>
              <w:rPr>
                <w:sz w:val="24"/>
                <w:szCs w:val="24"/>
                <w:color w:val="auto"/>
              </w:rPr>
            </w:pPr>
          </w:p>
        </w:tc>
        <w:tc>
          <w:tcPr>
            <w:tcW w:w="3420" w:type="dxa"/>
            <w:vAlign w:val="bottom"/>
            <w:gridSpan w:val="2"/>
          </w:tcPr>
          <w:p>
            <w:pPr>
              <w:jc w:val="right"/>
              <w:ind w:right="2230"/>
              <w:spacing w:after="0"/>
              <w:rPr>
                <w:sz w:val="20"/>
                <w:szCs w:val="20"/>
                <w:color w:val="auto"/>
              </w:rPr>
            </w:pPr>
            <w:r>
              <w:rPr>
                <w:rFonts w:ascii="Arial" w:cs="Arial" w:eastAsia="Arial" w:hAnsi="Arial"/>
                <w:sz w:val="18"/>
                <w:szCs w:val="18"/>
                <w:color w:val="auto"/>
              </w:rPr>
              <w:t>F-15</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authorized up to 150,000,000 shares of common stock, $0.001 par value per share, for issuance. Significant 2021 and 2020 common stock transactions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certain outstanding options were exercised for 1,456 shares of common stock providing aggregate proceeds to the Company of approximately $3,100.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year ended December 31, 2021, the Company issued an aggregate of 0.1 million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11, 2021, the Company entered into an underwriting agreement with Piper Sandler &amp; Co., as representative of the several underwriters, to issue and sell 28,572,000 shares of common stock of the Company in an underwritten public offering. The offering price to the public was $1.75 per share. In addition, the Company granted the underwriters an option to purchase, for a period of 30 days, up to an additional 4,285,800 shares of common stock, which such option was partially exercised with respect to 3,710,857 shares. An aggregate of 32,282,857 shares of the Company’s common stock was issued for net proceeds of $52.6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certain outstanding warrants were exercised for 0.5 million shares of common stock providing aggregate proceeds to the Company of approximately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issued an aggregate of 0.1 million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Capital</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the Company issued to Aspire Capital 0.3 million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the Company’s common stock as a commitment fee. The Company recorded the commitment fee to additional paid in capital. As of December 31, 2020, Aspire Capital had purchased 4.1 million shares under the Purchase Agreement, providing aggregate proceeds to the Company of approximately $6.2 million. Aspire Capital did not purchase any shares under the Purchase Agreement during the year ended December 31, 2021.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Company’s share purchase warrants as of December 31, 2021 and 2020, respectively, and changes during the period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Intrinsic</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22,664,000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Exercised for cash</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(458,000)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(1,376,000)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3"/>
              </w:rPr>
              <w:t>20,830,000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4.47</w:t>
            </w:r>
          </w:p>
        </w:tc>
        <w:tc>
          <w:tcPr>
            <w:tcW w:w="1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2.60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(1,000,000)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b w:val="1"/>
                <w:bCs w:val="1"/>
                <w:color w:val="auto"/>
              </w:rPr>
              <w:t>Balance - December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19,830,000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certain outstanding warrants were exercised for 0.5 million shares of common stock providing aggregate proceeds to the Company of approximately $0.6 million.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 OPTION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Awards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19, 2020, the Board adopted the 2020 Equity Incentive Plan ("2020 Plan") which replaced the 2014 Omnibus Stock Option Plan.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2020 Plan have a maximum term of ten years from the date of grant and generally vest over four years.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10, 2021, pursuant to the Company's 2020 Equity Incentive Plan, the compensation committee of the Company's board of directors approved a total of 740,000 options to purchase the Company's common stock as equity-based incentive awards to the Company's executive officers, other than the Chief Executive Officer. Each option award was granted with an exercise price of $3.29 per share, the closing price of the Company's common stock on the Nasdaq Global Market on February 10, 2021, with the option award vesting in 48 equal monthly installments over a four-year period, subject to such executive officer's continued service on the applicable vesting date. Additionally, on February 10, 2021, the compensation committee of the Company's board of directors approved a total of 260,000 options to purchase the Company's common stock to non-executive employees of the Company as equity-based incentive awards. Each option award was granted with an exercise price of $3.29 per share, the closing price of the Company's common stock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Nasdaq Global Market on February 10, 2021, with the option award vesting in 48 equal monthly installments over a four-year period, subject to such employee's continued service on the applicable vesting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upon the recommendation of the compensation committee and pursuant to the Company's 2020 Equity Incentive Plan, the Company's board of directors approved a total of 430,000 options to purchase the Company's common stock as (equity-based incentive awards to the Company's Chief Executive Officer. The option award was granted with an exercise price of $3.06 per share, the closing price of the Company's common stock on the Nasdaq Global Market on February 11, 2021, with the option award vesting in 48 equal monthly installments over a four-year period, subject to such Chief Executive Officer's continued service on the applicable vesting date.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above awards were in addition to 90,000 stock option awards issued during the three months ended March 31, 2021 to new employees upon their commencement of employment with the Company. Each option award was granted with an exercise price of $1.47 per share, the closing price of the Company's common stock on the Nasdaq Global Market on January 4, 2021, with 25% of the option award vesting in one year and the remaining 75% vesting in 36 equal monthly installments thereafter over a three-year period, subject to such employee's continued service on the applicable vesting date.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100,000 stock option awards were issued during the three months ended June 30, 2021 to new employees upon their commencement of employment with the Company. Each option award was granted with an exercise price of $2.19 per share, the closing price of the Company's common stock on the Nasdaq Global Market on April 1, 2021, with 25% of the option award vesting in one year and the remaining 75% vesting in 36 equal monthly installments thereafter over a three-year period, subject to such employee's continued service on the applicable vesting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130,000 stock option awards were issued during the three months ended September 30, 2021 to new employees upon their commencement of employment with the Company. Each option award was granted with an exercise price of $2.88 per share, the closing price of the Company's common stock on the Nasdaq Global Market on July 1, 2021, with 25% of the option award vesting in one year and the remaining 75% vesting in 36 equal monthly installments thereafter over a three-year period, subject to such employee's continued service on the applicable vesting date.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40,000 stock option awards were issued during the three months ended December 31, 2021 to new employees upon their commencement of employment with the Company. Each option award was granted with an exercise price of $1.67 per share, the closing price of the Company's common stock on the Nasdaq Global Market on October 1, 2021, with 25% of the option award vesting in one year and the remaining 75% vesting in 36 equal monthly installments thereafter over a three-year period, subject to such employee's continued service on the applicable vesting date. Also, 125,000 stock option awards were issued to a new outside director. The option award was granted with an exercise price of $1.20 per share, the closing price of the Company's common stock on the Nasdaq Global Market on December 8, 2021, vesting in 36 equal monthly installments.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1,456 stock options were exercised for net proceeds of $3,100.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approximately 2.9 million options are available to be issued from the 2020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 for stock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6,001,814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1,915,000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(229,125)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4,298,747</w:t>
            </w:r>
          </w:p>
        </w:tc>
        <w:tc>
          <w:tcPr>
            <w:tcW w:w="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2021 and 2020, respectively, were as follows:</w:t>
      </w:r>
    </w:p>
    <w:p>
      <w:pPr>
        <w:spacing w:after="0" w:line="189"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Years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108 %</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For the Years Ended</w:t>
      </w:r>
    </w:p>
    <w:p>
      <w:pPr>
        <w:ind w:left="7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2,856,000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2,588,000</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3,108,000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2,640,000</w:t>
            </w: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5,964,000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5,228,000</w:t>
            </w:r>
          </w:p>
        </w:tc>
      </w:tr>
      <w:tr>
        <w:trPr>
          <w:trHeight w:val="20"/>
        </w:trPr>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total stock-based compensation cost related to unvested awards not yet recognized was $8.6 million. The expected weighted average period compensation costs to be recognized was 2.0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GRANT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2021 and 2020, the Company received $0 and $0.5 million, respectively, of a grant awarded to Mayo Foundation from the U.S. Department of Defense for the Phase 2 Clinical Trial of TPIV200. The grant compensated the Company for clinical supplies manufactured and provided by the Company for the clinical study.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2021, the Company received $2.4 million advancement of funds in relation to the CPRIT grant. The Company recorded $1.2 million of grant income related to the CPRIT grant as revenue for the year ended December 31, 2021. At December 31, 2021 $1.1 million was recorded as Restricted Cash and Deferred Revenue on the Company's consolidated financial statements.</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tab/>
        <w:t>LEGAL PROCEEDINGS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the Company may be party to ordinary, routine litigation incidental to their business. Other than below,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September 30,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9, 2022, the Company was notified that its motion to vacate the award was denied and the broker was awarded an additional $0.1 million in interest. Post judgment interest will continue to accrue at 1.02% until the judgement is paid.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related party transaction expenses recorded for the years ended December 31, 2021 and 2020, respectively.</w:t>
      </w:r>
    </w:p>
    <w:p>
      <w:pPr>
        <w:spacing w:after="0" w:line="253"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Bio-Techne Corporation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Wilson Wolf Manufacturing Corporation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2,031,000</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 million of related party transactions are included in accounts payable and accrued liabilities as of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May 2020 and July 2021, the Company entered into Clinical Supply Agreements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is serving as the President of the Protein Sciences Segment of Bio-Techne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Wilson Wolf Manufacturing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utilizing Wilson Wolf Manufacturing Corporation for the purchases of cell culture devices called G-Rexes. Mr. John Wilson is a member of the Company's board of directors and is serving as the CEO of Wilson Wolf Manufacturing Corporation. Wilson Wolf Manufacturing became a related party during fiscal year 2021 and as such, $61,000 transactions for the period ended December 31, 2020 were included in the table above.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income tax expense due to operating losses incurred for the years ended December 31, 2021 and 2020.</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temporary differences that give rise to significant portions of the deferred tax assets as of December 31, 2021 and 2020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06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0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(As revised)</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(As reported)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Net Operating Loss Carryforward</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29,087,000</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21,783,000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21,783,000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510,000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License Agreements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spacing w:after="0"/>
              <w:rPr>
                <w:sz w:val="20"/>
                <w:szCs w:val="20"/>
                <w:color w:val="auto"/>
              </w:rPr>
            </w:pPr>
            <w:r>
              <w:rPr>
                <w:rFonts w:ascii="Arial" w:cs="Arial" w:eastAsia="Arial" w:hAnsi="Arial"/>
                <w:sz w:val="18"/>
                <w:szCs w:val="18"/>
                <w:color w:val="auto"/>
              </w:rPr>
              <w:t>733,000</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Charitable Contributions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Operating Lease Liability</w:t>
            </w:r>
          </w:p>
        </w:tc>
        <w:tc>
          <w:tcPr>
            <w:tcW w:w="940" w:type="dxa"/>
            <w:vAlign w:val="bottom"/>
          </w:tcPr>
          <w:p>
            <w:pPr>
              <w:jc w:val="right"/>
              <w:spacing w:after="0"/>
              <w:rPr>
                <w:sz w:val="20"/>
                <w:szCs w:val="20"/>
                <w:color w:val="auto"/>
              </w:rPr>
            </w:pPr>
            <w:r>
              <w:rPr>
                <w:rFonts w:ascii="Arial" w:cs="Arial" w:eastAsia="Arial" w:hAnsi="Arial"/>
                <w:sz w:val="18"/>
                <w:szCs w:val="18"/>
                <w:color w:val="auto"/>
              </w:rPr>
              <w:t>2,514,000</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2,626,000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38,578,000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30,012,000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(36,401,000)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(27,632,000)</w:t>
            </w:r>
          </w:p>
        </w:tc>
        <w:tc>
          <w:tcPr>
            <w:tcW w:w="1060" w:type="dxa"/>
            <w:vAlign w:val="bottom"/>
          </w:tcPr>
          <w:p>
            <w:pPr>
              <w:jc w:val="right"/>
              <w:spacing w:after="0"/>
              <w:rPr>
                <w:sz w:val="20"/>
                <w:szCs w:val="20"/>
                <w:color w:val="auto"/>
              </w:rPr>
            </w:pPr>
            <w:r>
              <w:rPr>
                <w:rFonts w:ascii="Arial" w:cs="Arial" w:eastAsia="Arial" w:hAnsi="Arial"/>
                <w:sz w:val="18"/>
                <w:szCs w:val="18"/>
                <w:color w:val="auto"/>
              </w:rPr>
              <w:t>(29,689,000)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(57,000)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(2,083,000)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(2,323,000)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(2,177,000)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(2,380,000)</w:t>
            </w:r>
          </w:p>
        </w:tc>
        <w:tc>
          <w:tcPr>
            <w:tcW w:w="18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Assets/(Liabilities)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2021 and 2020. The Company decreased the prior period deferred tax asset by $2.1 million with a corresponding decrease in its valuation allowance. This immaterial adjustment mostly related to the correction of the cumulative value of cancelled non-qualified stock options. The Company has research and development tax credit carryforwards of $733,000 available to offset future federal income taxes. The research and development tax credit carryforwards begin to expire in 2030.</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approximately $130.5 million of federal and $38.6 million of state Net Operating Losses (“NOL”s) that may be available to offset future taxable income, if any. The federal net operating loss carryforwards of $41.6 million, if not utilized, will expire between 2029 and 2037. The federal net operating loss carryforwards of $88.9 million generated in 2018 and thereafter are subject to an 80% limitation on taxable income, do not expire and will carry forward indefinitely. The state net operating loss carryforwards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$21.9 million, if not utilized, will begin to expire in 2035. The state net operating loss carryforwards of $16.7 million generated in 2018 and thereafter are subject to an 80% limitation on taxable income, do not expire and will carry forward indefinitely.</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income tax returns for 2017 to 2020 are still open and subject to audit. In addition, net operating losses arising from prior years are also subject to examination at the time they are utilized in future years.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2021 and 2020, the expected tax expense (benefit) based on the U. S. federal statutory rate is reconciled with the actual tax provision (benefit)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4"/>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76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9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Percent of</w:t>
            </w:r>
          </w:p>
        </w:tc>
        <w:tc>
          <w:tcPr>
            <w:tcW w:w="240" w:type="dxa"/>
            <w:vAlign w:val="bottom"/>
          </w:tcPr>
          <w:p>
            <w:pPr>
              <w:spacing w:after="0"/>
              <w:rPr>
                <w:sz w:val="10"/>
                <w:szCs w:val="10"/>
                <w:color w:val="auto"/>
              </w:rPr>
            </w:pPr>
          </w:p>
        </w:tc>
        <w:tc>
          <w:tcPr>
            <w:tcW w:w="11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Pretax Loss</w:t>
            </w:r>
          </w:p>
        </w:tc>
        <w:tc>
          <w:tcPr>
            <w:tcW w:w="1160" w:type="dxa"/>
            <w:vAlign w:val="bottom"/>
            <w:gridSpan w:val="3"/>
            <w:vMerge w:val="continue"/>
          </w:tcPr>
          <w:p>
            <w:pPr>
              <w:spacing w:after="0"/>
              <w:rPr>
                <w:sz w:val="14"/>
                <w:szCs w:val="14"/>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0"/>
              </w:rPr>
              <w:t>Pretax Loss</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(8,795,000)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(6,028,000)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0.11 %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(118,000)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0.69 %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Change in fair value of derivative liabilities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 Other permanent differences</w:t>
            </w:r>
          </w:p>
        </w:tc>
        <w:tc>
          <w:tcPr>
            <w:tcW w:w="880" w:type="dxa"/>
            <w:vAlign w:val="bottom"/>
          </w:tcPr>
          <w:p>
            <w:pPr>
              <w:jc w:val="right"/>
              <w:spacing w:after="0"/>
              <w:rPr>
                <w:sz w:val="20"/>
                <w:szCs w:val="20"/>
                <w:color w:val="auto"/>
              </w:rPr>
            </w:pPr>
            <w:r>
              <w:rPr>
                <w:rFonts w:ascii="Arial" w:cs="Arial" w:eastAsia="Arial" w:hAnsi="Arial"/>
                <w:sz w:val="18"/>
                <w:szCs w:val="18"/>
                <w:color w:val="auto"/>
              </w:rPr>
              <w:t>262,000</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-0.63%</w:t>
            </w:r>
          </w:p>
        </w:tc>
        <w:tc>
          <w:tcPr>
            <w:tcW w:w="900" w:type="dxa"/>
            <w:vAlign w:val="bottom"/>
          </w:tcPr>
          <w:p>
            <w:pPr>
              <w:jc w:val="right"/>
              <w:spacing w:after="0"/>
              <w:rPr>
                <w:sz w:val="20"/>
                <w:szCs w:val="20"/>
                <w:color w:val="auto"/>
              </w:rPr>
            </w:pPr>
            <w:r>
              <w:rPr>
                <w:rFonts w:ascii="Arial" w:cs="Arial" w:eastAsia="Arial" w:hAnsi="Arial"/>
                <w:sz w:val="18"/>
                <w:szCs w:val="18"/>
                <w:color w:val="auto"/>
              </w:rPr>
              <w:t>182,000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8,769,000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true-up</w:t>
            </w:r>
          </w:p>
        </w:tc>
        <w:tc>
          <w:tcPr>
            <w:tcW w:w="880" w:type="dxa"/>
            <w:vAlign w:val="bottom"/>
          </w:tcPr>
          <w:p>
            <w:pPr>
              <w:jc w:val="right"/>
              <w:spacing w:after="0"/>
              <w:rPr>
                <w:sz w:val="20"/>
                <w:szCs w:val="20"/>
                <w:color w:val="auto"/>
              </w:rPr>
            </w:pPr>
            <w:r>
              <w:rPr>
                <w:rFonts w:ascii="Arial" w:cs="Arial" w:eastAsia="Arial" w:hAnsi="Arial"/>
                <w:sz w:val="18"/>
                <w:szCs w:val="18"/>
                <w:color w:val="auto"/>
              </w:rPr>
              <w:t>103,000</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900" w:type="dxa"/>
            <w:vAlign w:val="bottom"/>
          </w:tcPr>
          <w:p>
            <w:pPr>
              <w:jc w:val="right"/>
              <w:spacing w:after="0"/>
              <w:rPr>
                <w:sz w:val="20"/>
                <w:szCs w:val="20"/>
                <w:color w:val="auto"/>
              </w:rPr>
            </w:pPr>
            <w:r>
              <w:rPr>
                <w:rFonts w:ascii="Arial" w:cs="Arial" w:eastAsia="Arial" w:hAnsi="Arial"/>
                <w:sz w:val="18"/>
                <w:szCs w:val="18"/>
                <w:color w:val="auto"/>
              </w:rPr>
              <w:t>237,000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2020, and 2019, there were no unrecognized tax benefits. The Company recognizes accrued interest and penalties as income tax expense. No amounts were accrued for the payment of interest and penalties at December 31, 2021 and 2020. The Company is currently not aware of any issues under review that could result in significant payments, accruals or material deviation from its position in the next year.</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CARES Act was enabled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168(k),(iii) 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 Given the Company’s full valuation allowance position, the CARES Act did not have an impact on the financial statements.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16, 2022, the Company received a notice from the Nasdaq Global Market that the Company was not in compliance with Nasdaq's Listing Rule 5450(a)(1), as the minimum bid price of its common stock had been below $1.00 per share for 30 consecutive business days. 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of Marker Therapeutics, Inc. on Form S-3, File No. 333-215258, No. 333-220538, No. 333-228059, No. 333-232122 and No. 333-258687 and on Form S-8 File No. 333-223900, No. 333-228056 and 333-239136 of our report dated March 17, 2022, which includes an explanatory paragraph as to the Company’s ability to continue as a going concern, with respect to our audits of the consolidated financial statements of Marker Therapeutics, Inc. as of December 31, 2021 and 2020 and for the two years in the period ended December 31, 2021, which reports is included in this Annual Report on Form 10-K of Marker Therapeutics, Inc. for the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Marcum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80" w:firstLine="656"/>
        <w:spacing w:after="0" w:line="286" w:lineRule="auto"/>
        <w:tabs>
          <w:tab w:leader="none" w:pos="1296"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right="120" w:firstLine="656"/>
        <w:spacing w:after="0" w:line="263"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26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40" w:firstLine="656"/>
        <w:spacing w:after="0" w:line="263"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17, 2022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80" w:firstLine="656"/>
        <w:spacing w:after="0" w:line="286" w:lineRule="auto"/>
        <w:tabs>
          <w:tab w:leader="none" w:pos="1296"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right="120" w:firstLine="656"/>
        <w:spacing w:after="0" w:line="263" w:lineRule="auto"/>
        <w:tabs>
          <w:tab w:leader="none" w:pos="12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263"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40" w:firstLine="656"/>
        <w:spacing w:after="0" w:line="263" w:lineRule="auto"/>
        <w:tabs>
          <w:tab w:leader="none" w:pos="12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17,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2021 as filed with the Securities and Exchange Commission on the date hereof (the “Report”), I, Peter L. Hoang, Principal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2021 as filed with the Securities and Exchange Commission on the date hereof (the “Report”), I, Anthony Kim, Principal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820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o"/>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lvl w:ilvl="1">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lvl w:ilvl="1">
      <w:lvlJc w:val="left"/>
      <w:lvlText w:val="o"/>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o"/>
      <w:numFmt w:val="bullet"/>
      <w:start w:val="1"/>
    </w:lvl>
  </w:abstractNum>
  <w:abstractNum w:abstractNumId="53">
    <w:nsid w:val="D34B6A8"/>
    <w:multiLevelType w:val="hybridMultilevel"/>
    <w:lvl w:ilvl="0">
      <w:lvlJc w:val="left"/>
      <w:lvlText w:val="o"/>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
      <w:numFmt w:val="bullet"/>
      <w:start w:val="1"/>
    </w:lvl>
    <w:lvl w:ilvl="1">
      <w:lvlJc w:val="left"/>
      <w:lvlText w:val="%2"/>
      <w:numFmt w:val="decimal"/>
      <w:start w:val="104"/>
    </w:lvl>
  </w:abstractNum>
  <w:abstractNum w:abstractNumId="58">
    <w:nsid w:val="77AE35EB"/>
    <w:multiLevelType w:val="hybridMultilevel"/>
    <w:lvl w:ilvl="0">
      <w:lvlJc w:val="left"/>
      <w:lvlText w:val="**"/>
      <w:numFmt w:val="bullet"/>
      <w:start w:val="1"/>
    </w:lvl>
    <w:lvl w:ilvl="1">
      <w:lvlJc w:val="left"/>
      <w:lvlText w:val="%2"/>
      <w:numFmt w:val="decimal"/>
      <w:start w:val="1"/>
    </w:lvl>
  </w:abstractNum>
  <w:abstractNum w:abstractNumId="59">
    <w:nsid w:val="579BE4F1"/>
    <w:multiLevelType w:val="hybridMultilevel"/>
    <w:lvl w:ilvl="0">
      <w:lvlJc w:val="left"/>
      <w:lvlText w:val="***"/>
      <w:numFmt w:val="bullet"/>
      <w:start w:val="1"/>
    </w:lvl>
    <w:lvl w:ilvl="1">
      <w:lvlJc w:val="left"/>
      <w:lvlText w:val="%2"/>
      <w:numFmt w:val="decimal"/>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50" Type="http://schemas.openxmlformats.org/officeDocument/2006/relationships/image" Target="media/image118.png"/><Relationship Id="rId168"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125" Type="http://schemas.openxmlformats.org/officeDocument/2006/relationships/hyperlink" Target="https://www.sec.gov/Archives/edgar/data/1094038/000114420418054209/tv504951_ex3-4.htm" TargetMode="External"/><Relationship Id="rId126" Type="http://schemas.openxmlformats.org/officeDocument/2006/relationships/hyperlink" Target="https://www.sec.gov/Archives/edgar/data/1094038/000114420418054209/tv504951_ex3-6.htm" TargetMode="External"/><Relationship Id="rId127" Type="http://schemas.openxmlformats.org/officeDocument/2006/relationships/hyperlink" Target="https://www.sec.gov/Archives/edgar/data/1094038/000114420418054210/tv504949_ex4-1.htm" TargetMode="External"/><Relationship Id="rId128" Type="http://schemas.openxmlformats.org/officeDocument/2006/relationships/hyperlink" Target="https://www.sec.gov/Archives/edgar/data/1094038/000114420418028370/tv494002_ex2-1.htm" TargetMode="External"/><Relationship Id="rId129" Type="http://schemas.openxmlformats.org/officeDocument/2006/relationships/hyperlink" Target="https://www.sec.gov/Archives/edgar/data/1094038/000110465920032463/tm205467d1_ex4-25.htm" TargetMode="External"/><Relationship Id="rId130" Type="http://schemas.openxmlformats.org/officeDocument/2006/relationships/hyperlink" Target="https://www.sec.gov/Archives/edgar/data/1094038/000142488415000054/exhibit10-1.htm" TargetMode="External"/><Relationship Id="rId131" Type="http://schemas.openxmlformats.org/officeDocument/2006/relationships/hyperlink" Target="https://www.sec.gov/Archives/edgar/data/1094038/000142488415000057/exhibit10-1.htm" TargetMode="External"/><Relationship Id="rId132" Type="http://schemas.openxmlformats.org/officeDocument/2006/relationships/hyperlink" Target="https://www.sec.gov/Archives/edgar/data/1094038/000114420418033374/tv496182_ex10-1.htm" TargetMode="External"/><Relationship Id="rId133" Type="http://schemas.openxmlformats.org/officeDocument/2006/relationships/hyperlink" Target="https://www.sec.gov/Archives/edgar/data/1094038/000142488415000124/exhibit10-1.htm" TargetMode="External"/><Relationship Id="rId134" Type="http://schemas.openxmlformats.org/officeDocument/2006/relationships/hyperlink" Target="https://www.sec.gov/Archives/edgar/data/1094038/000119312516682054/d157003dex107.htm" TargetMode="External"/><Relationship Id="rId135" Type="http://schemas.openxmlformats.org/officeDocument/2006/relationships/hyperlink" Target="https://www.sec.gov/Archives/edgar/data/1094038/000114420419014350/tv514406_ex10-21.htm" TargetMode="External"/><Relationship Id="rId136" Type="http://schemas.openxmlformats.org/officeDocument/2006/relationships/hyperlink" Target="https://www.sec.gov/Archives/edgar/data/1094038/000114420419014350/tv514406_ex10-22.htm" TargetMode="External"/><Relationship Id="rId137" Type="http://schemas.openxmlformats.org/officeDocument/2006/relationships/hyperlink" Target="https://www.sec.gov/Archives/edgar/data/1094038/000142488410000008/forddef14-c.htm" TargetMode="External"/><Relationship Id="rId138" Type="http://schemas.openxmlformats.org/officeDocument/2006/relationships/hyperlink" Target="https://www.sec.gov/Archives/edgar/data/1094038/000114420417046574/v474594_ex10-1.htm" TargetMode="External"/><Relationship Id="rId139" Type="http://schemas.openxmlformats.org/officeDocument/2006/relationships/hyperlink" Target="https://www.sec.gov/Archives/edgar/data/1094038/000114420418054209/tv504951_ex4-4.htm" TargetMode="External"/><Relationship Id="rId140" Type="http://schemas.openxmlformats.org/officeDocument/2006/relationships/hyperlink" Target="https://www.sec.gov/Archives/edgar/data/1094038/000114420418054989/tv505356_ex10-3.htm" TargetMode="External"/><Relationship Id="rId141" Type="http://schemas.openxmlformats.org/officeDocument/2006/relationships/hyperlink" Target="https://www.sec.gov/Archives/edgar/data/1094038/000114420418056172/tv505663_ex10-1.htm" TargetMode="External"/><Relationship Id="rId142" Type="http://schemas.openxmlformats.org/officeDocument/2006/relationships/hyperlink" Target="https://www.sec.gov/Archives/edgar/data/1094038/000114420418054989/tv505356_ex10-2.htm" TargetMode="External"/><Relationship Id="rId143" Type="http://schemas.openxmlformats.org/officeDocument/2006/relationships/hyperlink" Target="https://www.sec.gov/Archives/edgar/data/1094038/000142488415000168/exhibit10-7.htm" TargetMode="External"/><Relationship Id="rId144" Type="http://schemas.openxmlformats.org/officeDocument/2006/relationships/hyperlink" Target="https://www.sec.gov/Archives/edgar/data/1094038/000114420417049357/v475675_ex10-1.htm" TargetMode="External"/><Relationship Id="rId145" Type="http://schemas.openxmlformats.org/officeDocument/2006/relationships/hyperlink" Target="https://www.sec.gov/Archives/edgar/data/1094038/000119312516690727/d230909dex101.htm" TargetMode="External"/><Relationship Id="rId146" Type="http://schemas.openxmlformats.org/officeDocument/2006/relationships/hyperlink" Target="https://www.sec.gov/Archives/edgar/data/1094038/000114420418062867/tv508378_ex10-2.htm" TargetMode="External"/><Relationship Id="rId147" Type="http://schemas.openxmlformats.org/officeDocument/2006/relationships/hyperlink" Target="https://www.sec.gov/Archives/edgar/data/1094038/000114420418062867/tv508378_ex10-3.htm" TargetMode="External"/><Relationship Id="rId148" Type="http://schemas.openxmlformats.org/officeDocument/2006/relationships/hyperlink" Target="https://www.sec.gov/Archives/edgar/data/1094038/000114420418054989/tv505356_ex10-1.htm" TargetMode="External"/><Relationship Id="rId149" Type="http://schemas.openxmlformats.org/officeDocument/2006/relationships/hyperlink" Target="https://www.sec.gov/Archives/edgar/data/1094038/000114420419014350/tv514406_ex10-39.htm" TargetMode="External"/><Relationship Id="rId151" Type="http://schemas.openxmlformats.org/officeDocument/2006/relationships/hyperlink" Target="https://www.sec.gov/Archives/edgar/data/1094038/000114420419014350/tv514406_ex10-40.htm" TargetMode="External"/><Relationship Id="rId152" Type="http://schemas.openxmlformats.org/officeDocument/2006/relationships/hyperlink" Target="https://www.sec.gov/Archives/edgar/data/1094038/000114420419025316/tv520511_ex10-3.htm" TargetMode="External"/><Relationship Id="rId153" Type="http://schemas.openxmlformats.org/officeDocument/2006/relationships/hyperlink" Target="https://www.sec.gov/Archives/edgar/data/1094038/000110465920072918/tm2022347d1_ex99-1.htm" TargetMode="External"/><Relationship Id="rId154" Type="http://schemas.openxmlformats.org/officeDocument/2006/relationships/hyperlink" Target="https://www.sec.gov/Archives/edgar/data/1094038/000110465920123055/mrkr-20200930xex10d1.htm" TargetMode="External"/><Relationship Id="rId155" Type="http://schemas.openxmlformats.org/officeDocument/2006/relationships/hyperlink" Target="https://www.sec.gov/Archives/edgar/data/1094038/000110465920123055/mrkr-20200930xex10d2.htm" TargetMode="External"/><Relationship Id="rId156" Type="http://schemas.openxmlformats.org/officeDocument/2006/relationships/hyperlink" Target="https://www.sec.gov/Archives/edgar/data/1094038/000142488414000086/exhibit4-1.htm" TargetMode="External"/><Relationship Id="rId157" Type="http://schemas.openxmlformats.org/officeDocument/2006/relationships/hyperlink" Target="https://www.sec.gov/Archives/edgar/data/1094038/000142488415000006/exhibit4-6.htm" TargetMode="External"/><Relationship Id="rId158" Type="http://schemas.openxmlformats.org/officeDocument/2006/relationships/hyperlink" Target="https://www.sec.gov/Archives/edgar/data/1094038/000142488415000006/exhibit4-8.htm" TargetMode="External"/><Relationship Id="rId159" Type="http://schemas.openxmlformats.org/officeDocument/2006/relationships/hyperlink" Target="https://www.sec.gov/Archives/edgar/data/1094038/000142488415000006/exhibit4-9.htm" TargetMode="External"/><Relationship Id="rId160" Type="http://schemas.openxmlformats.org/officeDocument/2006/relationships/hyperlink" Target="https://www.sec.gov/Archives/edgar/data/1094038/000142488415000006/exhibit4-10.htm" TargetMode="External"/><Relationship Id="rId161" Type="http://schemas.openxmlformats.org/officeDocument/2006/relationships/hyperlink" Target="https://www.sec.gov/Archives/edgar/data/1094038/000142488415000030/exhibit4-6.htm" TargetMode="External"/><Relationship Id="rId162" Type="http://schemas.openxmlformats.org/officeDocument/2006/relationships/hyperlink" Target="https://www.sec.gov/Archives/edgar/data/1094038/000142488415000030/exhibit4-10.htm" TargetMode="External"/><Relationship Id="rId163" Type="http://schemas.openxmlformats.org/officeDocument/2006/relationships/hyperlink" Target="https://www.sec.gov/Archives/edgar/data/1094038/000119312516678673/d161424dex42.htm" TargetMode="External"/><Relationship Id="rId164" Type="http://schemas.openxmlformats.org/officeDocument/2006/relationships/hyperlink" Target="https://www.sec.gov/Archives/edgar/data/1094038/000119312516678673/d161424dex43.htm" TargetMode="External"/><Relationship Id="rId165" Type="http://schemas.openxmlformats.org/officeDocument/2006/relationships/hyperlink" Target="https://www.sec.gov/Archives/edgar/data/1094038/000119312516678673/d161424dex44.htm" TargetMode="External"/><Relationship Id="rId166" Type="http://schemas.openxmlformats.org/officeDocument/2006/relationships/hyperlink" Target="https://www.sec.gov/Archives/edgar/data/1094038/000119312516678673/d161424dex45.htm" TargetMode="External"/><Relationship Id="rId167" Type="http://schemas.openxmlformats.org/officeDocument/2006/relationships/hyperlink" Target="https://www.sec.gov/Archives/edgar/data/1094038/000119312516678673/d161424dex46.htm" TargetMode="External"/><Relationship Id="rId169" Type="http://schemas.openxmlformats.org/officeDocument/2006/relationships/hyperlink" Target="https://www.sec.gov/Archives/edgar/data/1094038/000119312516678673/d161424dex47.htm" TargetMode="External"/><Relationship Id="rId170" Type="http://schemas.openxmlformats.org/officeDocument/2006/relationships/hyperlink" Target="https://www.sec.gov/Archives/edgar/data/1094038/000119312516678673/d161424dex49.htm" TargetMode="External"/><Relationship Id="rId171" Type="http://schemas.openxmlformats.org/officeDocument/2006/relationships/hyperlink" Target="https://www.sec.gov/Archives/edgar/data/1094038/000119312516678673/d161424dex410.htm" TargetMode="External"/><Relationship Id="rId172" Type="http://schemas.openxmlformats.org/officeDocument/2006/relationships/hyperlink" Target="https://www.sec.gov/Archives/edgar/data/1094038/000119312516678673/d161424dex41.htm" TargetMode="External"/><Relationship Id="rId173" Type="http://schemas.openxmlformats.org/officeDocument/2006/relationships/hyperlink" Target="https://www.sec.gov/Archives/edgar/data/1094038/000119312516678673/d161424dex411.htm" TargetMode="External"/><Relationship Id="rId174" Type="http://schemas.openxmlformats.org/officeDocument/2006/relationships/hyperlink" Target="https://www.sec.gov/Archives/edgar/data/1094038/000114420417033502/v469341_ex4-1.htm" TargetMode="External"/><Relationship Id="rId175" Type="http://schemas.openxmlformats.org/officeDocument/2006/relationships/hyperlink" Target="https://www.sec.gov/Archives/edgar/data/1094038/000114420417033502/v469341_ex4-2.htm" TargetMode="External"/><Relationship Id="rId176" Type="http://schemas.openxmlformats.org/officeDocument/2006/relationships/hyperlink" Target="https://www.sec.gov/Archives/edgar/data/1094038/000119312516678673/d161424dex103.htm" TargetMode="External"/><Relationship Id="rId177" Type="http://schemas.openxmlformats.org/officeDocument/2006/relationships/hyperlink" Target="https://www.sec.gov/Archives/edgar/data/1094038/000114420417033502/v469341_ex10-3.htm" TargetMode="External"/><Relationship Id="rId178" Type="http://schemas.openxmlformats.org/officeDocument/2006/relationships/hyperlink" Target="https://www.sec.gov/Archives/edgar/data/1094038/000114420418033374/tv496182_ex4-1.htm" TargetMode="External"/><Relationship Id="rId179" Type="http://schemas.openxmlformats.org/officeDocument/2006/relationships/hyperlink" Target="https://www.sec.gov/Archives/edgar/data/1094038/000114420418033374/tv496182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2022-03-17T16:30:04Z</dcterms:created>
  <dcterms:modified xsi:type="dcterms:W3CDTF">2022-03-17T16:30:04Z</dcterms:modified>
</cp:coreProperties>
</file>